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370" w:rsidRPr="00CD46FB" w:rsidRDefault="00BC6370" w:rsidP="00BC6370">
      <w:pPr>
        <w:spacing w:after="120"/>
        <w:ind w:firstLine="0"/>
        <w:jc w:val="center"/>
        <w:outlineLvl w:val="0"/>
        <w:rPr>
          <w:sz w:val="24"/>
          <w:szCs w:val="24"/>
        </w:rPr>
      </w:pPr>
      <w:bookmarkStart w:id="0" w:name="_Toc406615595"/>
      <w:bookmarkStart w:id="1" w:name="_Toc406616219"/>
      <w:bookmarkStart w:id="2" w:name="_Toc406616401"/>
      <w:bookmarkStart w:id="3" w:name="_Toc406617448"/>
      <w:bookmarkStart w:id="4" w:name="_Toc406617581"/>
      <w:bookmarkStart w:id="5" w:name="_Toc406617753"/>
      <w:bookmarkStart w:id="6" w:name="_Toc406832176"/>
      <w:bookmarkStart w:id="7" w:name="_Toc406832488"/>
      <w:bookmarkStart w:id="8" w:name="_Toc408861876"/>
      <w:bookmarkStart w:id="9" w:name="_Toc412380550"/>
      <w:bookmarkStart w:id="10" w:name="_Toc412380657"/>
      <w:bookmarkStart w:id="11" w:name="_Toc412380758"/>
      <w:bookmarkStart w:id="12" w:name="_Toc412380864"/>
      <w:bookmarkStart w:id="13" w:name="_Toc412390192"/>
      <w:bookmarkStart w:id="14" w:name="_Toc415772114"/>
      <w:bookmarkStart w:id="15" w:name="_Toc415772958"/>
      <w:bookmarkStart w:id="16" w:name="_Toc415773048"/>
      <w:bookmarkStart w:id="17" w:name="_Toc418586586"/>
      <w:bookmarkStart w:id="18" w:name="_Toc418587980"/>
      <w:bookmarkStart w:id="19" w:name="_Toc419153381"/>
      <w:bookmarkStart w:id="20" w:name="_Toc423948885"/>
      <w:bookmarkStart w:id="21" w:name="_Toc423973142"/>
      <w:bookmarkStart w:id="22" w:name="_Toc424049196"/>
      <w:bookmarkStart w:id="23" w:name="_Toc424200250"/>
      <w:r w:rsidRPr="00CD46FB">
        <w:rPr>
          <w:b/>
          <w:sz w:val="24"/>
          <w:szCs w:val="24"/>
        </w:rPr>
        <w:t>Streszczenie</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rsidR="00BC6370" w:rsidRPr="0063181D" w:rsidRDefault="00BC6370" w:rsidP="00BC6370">
      <w:pPr>
        <w:ind w:firstLine="567"/>
        <w:jc w:val="center"/>
        <w:rPr>
          <w:rFonts w:eastAsia="Times New Roman"/>
          <w:b/>
          <w:sz w:val="24"/>
          <w:szCs w:val="24"/>
          <w:lang w:eastAsia="pl-PL"/>
        </w:rPr>
      </w:pPr>
      <w:r w:rsidRPr="0063181D">
        <w:rPr>
          <w:rFonts w:eastAsia="Times New Roman"/>
          <w:b/>
          <w:sz w:val="24"/>
          <w:szCs w:val="24"/>
          <w:lang w:eastAsia="pl-PL"/>
        </w:rPr>
        <w:t>Ekonomiczno-finansowe uwarunkowania kształtowania się kursów</w:t>
      </w:r>
    </w:p>
    <w:p w:rsidR="00BC6370" w:rsidRPr="0063181D" w:rsidRDefault="00BC6370" w:rsidP="00BC6370">
      <w:pPr>
        <w:ind w:firstLine="567"/>
        <w:jc w:val="center"/>
        <w:rPr>
          <w:rFonts w:eastAsia="Times New Roman"/>
          <w:b/>
          <w:sz w:val="24"/>
          <w:szCs w:val="24"/>
          <w:lang w:eastAsia="pl-PL"/>
        </w:rPr>
      </w:pPr>
      <w:r w:rsidRPr="0063181D">
        <w:rPr>
          <w:rFonts w:eastAsia="Times New Roman"/>
          <w:b/>
          <w:sz w:val="24"/>
          <w:szCs w:val="24"/>
          <w:lang w:eastAsia="pl-PL"/>
        </w:rPr>
        <w:t xml:space="preserve"> akcji spółek przemysłowych</w:t>
      </w:r>
    </w:p>
    <w:p w:rsidR="00BC6370" w:rsidRPr="0063181D" w:rsidRDefault="00BC6370" w:rsidP="00BC6370">
      <w:pPr>
        <w:ind w:firstLine="0"/>
        <w:rPr>
          <w:rFonts w:eastAsia="Times New Roman"/>
          <w:b/>
          <w:sz w:val="24"/>
          <w:szCs w:val="24"/>
          <w:lang w:eastAsia="pl-PL"/>
        </w:rPr>
      </w:pPr>
    </w:p>
    <w:p w:rsidR="00BC6370" w:rsidRPr="0063181D" w:rsidRDefault="00BC6370" w:rsidP="00BC6370">
      <w:pPr>
        <w:pStyle w:val="Akapitzlist"/>
        <w:tabs>
          <w:tab w:val="left" w:pos="0"/>
        </w:tabs>
        <w:ind w:left="0" w:firstLine="0"/>
        <w:rPr>
          <w:sz w:val="24"/>
          <w:szCs w:val="24"/>
        </w:rPr>
      </w:pPr>
      <w:r w:rsidRPr="0063181D">
        <w:rPr>
          <w:sz w:val="24"/>
          <w:szCs w:val="24"/>
        </w:rPr>
        <w:tab/>
        <w:t xml:space="preserve">Temat determinant kursów akcji jest często poruszany w literaturze krajowej, jak i zagranicznej. Ze względu na to, że emitentem papierów wartościowych na giełdzie są w głównej mierze przedsiębiorstwa, inwestorzy powszechnie uważają, że ich sytuacja finansowa ma znaczący wpływ na kształtowanie się </w:t>
      </w:r>
      <w:r>
        <w:rPr>
          <w:sz w:val="24"/>
          <w:szCs w:val="24"/>
        </w:rPr>
        <w:t xml:space="preserve">cen </w:t>
      </w:r>
      <w:r w:rsidRPr="0063181D">
        <w:rPr>
          <w:sz w:val="24"/>
          <w:szCs w:val="24"/>
        </w:rPr>
        <w:t xml:space="preserve">akcji. Jednakże zmiany notowań giełdowych mogą następować pod wpływem wielu innych czynników, wśród których nie bez znaczenia jest sytuacja w danym sektorze i całej gospodarce krajowej oraz trendy na giełdach światowych. W pracy określono </w:t>
      </w:r>
      <w:r w:rsidRPr="0063181D">
        <w:rPr>
          <w:rFonts w:eastAsia="Times New Roman"/>
          <w:sz w:val="24"/>
          <w:szCs w:val="24"/>
          <w:lang w:eastAsia="pl-PL"/>
        </w:rPr>
        <w:t>zależności między sytuacją ekonomiczno-finansową spółek przemysłowych notowanych na Giełdzie Papierów Wartościowych w Warszawie (GPW) a kursami ich akcji. Zbadano ponadto wpływ sytuacji makroekonomicznej oraz zmian</w:t>
      </w:r>
      <w:r>
        <w:rPr>
          <w:rFonts w:eastAsia="Times New Roman"/>
          <w:sz w:val="24"/>
          <w:szCs w:val="24"/>
          <w:lang w:eastAsia="pl-PL"/>
        </w:rPr>
        <w:t xml:space="preserve"> na </w:t>
      </w:r>
      <w:r w:rsidRPr="0063181D">
        <w:rPr>
          <w:rFonts w:eastAsia="Times New Roman"/>
          <w:sz w:val="24"/>
          <w:szCs w:val="24"/>
          <w:lang w:eastAsia="pl-PL"/>
        </w:rPr>
        <w:t>ważniejszych giełdach światowych na notowania akcji.</w:t>
      </w:r>
      <w:r w:rsidRPr="0063181D">
        <w:rPr>
          <w:sz w:val="24"/>
          <w:szCs w:val="24"/>
        </w:rPr>
        <w:t xml:space="preserve"> Przedmiotem badań były przedsiębiorstwa z czterech sektorów przemysłowych, tj. budownictwa, elektromaszynowego, spożywczego oraz metalowego. Okres badań obejmował lata 2008-2012. </w:t>
      </w:r>
    </w:p>
    <w:p w:rsidR="00BC6370" w:rsidRPr="0063181D" w:rsidRDefault="00BC6370" w:rsidP="00BC6370">
      <w:pPr>
        <w:pStyle w:val="Akapitzlist"/>
        <w:tabs>
          <w:tab w:val="left" w:pos="0"/>
        </w:tabs>
        <w:ind w:left="0" w:firstLine="0"/>
        <w:rPr>
          <w:color w:val="000000" w:themeColor="text1"/>
          <w:sz w:val="24"/>
          <w:szCs w:val="24"/>
        </w:rPr>
      </w:pPr>
      <w:r w:rsidRPr="0063181D">
        <w:rPr>
          <w:sz w:val="24"/>
          <w:szCs w:val="24"/>
        </w:rPr>
        <w:tab/>
        <w:t xml:space="preserve">Na podstawie modeli regresji </w:t>
      </w:r>
      <w:r>
        <w:rPr>
          <w:sz w:val="24"/>
          <w:szCs w:val="24"/>
        </w:rPr>
        <w:t xml:space="preserve">wielorakiej, </w:t>
      </w:r>
      <w:r w:rsidRPr="0063181D">
        <w:rPr>
          <w:sz w:val="24"/>
          <w:szCs w:val="24"/>
        </w:rPr>
        <w:t>objaśniających średnią cenę akcji badanych spółek przemysłowych</w:t>
      </w:r>
      <w:r w:rsidRPr="0063181D">
        <w:rPr>
          <w:color w:val="000000" w:themeColor="text1"/>
          <w:sz w:val="24"/>
          <w:szCs w:val="24"/>
        </w:rPr>
        <w:t xml:space="preserve"> za pomocą zmiennych finansowych stwierdzono, że </w:t>
      </w:r>
      <w:r w:rsidRPr="0063181D">
        <w:rPr>
          <w:sz w:val="24"/>
          <w:szCs w:val="24"/>
          <w:lang w:eastAsia="pl-PL"/>
        </w:rPr>
        <w:t xml:space="preserve">kształtowanie się kursów akcji, poza zmiennymi z zakresu </w:t>
      </w:r>
      <w:r w:rsidRPr="00E452AD">
        <w:rPr>
          <w:sz w:val="24"/>
          <w:szCs w:val="24"/>
          <w:lang w:eastAsia="pl-PL"/>
        </w:rPr>
        <w:t>rentowności i płynności, uzależnione</w:t>
      </w:r>
      <w:r w:rsidRPr="0063181D">
        <w:rPr>
          <w:sz w:val="24"/>
          <w:szCs w:val="24"/>
          <w:lang w:eastAsia="pl-PL"/>
        </w:rPr>
        <w:t xml:space="preserve"> było również od szeregu danych finansowych, m.in. przepływów pieniężnych, głównie z działalności inwestycyjnej, kapitału własnego i wskaźnika zadłużenia tego kapitału. </w:t>
      </w:r>
      <w:r w:rsidRPr="0063181D">
        <w:rPr>
          <w:sz w:val="24"/>
          <w:szCs w:val="24"/>
        </w:rPr>
        <w:t xml:space="preserve">Wyniki badań opartych na budowie modeli kointegracyjnych wykazały natomiast, że </w:t>
      </w:r>
      <w:r w:rsidRPr="0063181D">
        <w:rPr>
          <w:color w:val="000000" w:themeColor="text1"/>
          <w:sz w:val="24"/>
          <w:szCs w:val="24"/>
        </w:rPr>
        <w:t xml:space="preserve">sytuacja ekonomiczno-finansowa spółek determinowała w mniejszym zakresie kształtowanie się kursów akcji, niż czynniki makroekonomiczne i koniunktura na wiodących światowych parkietach giełdowych. </w:t>
      </w:r>
      <w:r w:rsidRPr="0063181D">
        <w:rPr>
          <w:sz w:val="24"/>
          <w:szCs w:val="24"/>
          <w:lang w:eastAsia="pl-PL"/>
        </w:rPr>
        <w:t xml:space="preserve">Zmienność cen akcji spółek w analizowanych sektorach była lepiej wyjaśniana przez dane rynkowe, tj. zmienne makroekonomiczne i ważniejsze indeksy z giełd zagranicznych, w porównaniu do danych finansowych. </w:t>
      </w:r>
      <w:r w:rsidRPr="0063181D">
        <w:rPr>
          <w:color w:val="000000" w:themeColor="text1"/>
          <w:sz w:val="24"/>
          <w:szCs w:val="24"/>
        </w:rPr>
        <w:t>Wskaźniki finansowe przedsiębiorstw nie były wystarczające do wyjaśnienia kursów akcji w ramach badanych spółek przemysłowych.</w:t>
      </w:r>
    </w:p>
    <w:p w:rsidR="00BC6370" w:rsidRPr="0063181D" w:rsidRDefault="00BC6370" w:rsidP="00BC6370">
      <w:pPr>
        <w:pStyle w:val="Akapitzlist"/>
        <w:tabs>
          <w:tab w:val="left" w:pos="0"/>
        </w:tabs>
        <w:ind w:left="0" w:firstLine="0"/>
        <w:rPr>
          <w:sz w:val="24"/>
          <w:szCs w:val="24"/>
          <w:lang w:eastAsia="pl-PL"/>
        </w:rPr>
      </w:pPr>
      <w:r w:rsidRPr="0063181D">
        <w:rPr>
          <w:sz w:val="24"/>
          <w:szCs w:val="24"/>
        </w:rPr>
        <w:tab/>
        <w:t>Przynależność sektorowa różnicowała zależności między sytuacją finansową spółek i cenami ich akcji.</w:t>
      </w:r>
      <w:r w:rsidRPr="0063181D">
        <w:rPr>
          <w:color w:val="000000" w:themeColor="text1"/>
          <w:sz w:val="24"/>
          <w:szCs w:val="24"/>
        </w:rPr>
        <w:t xml:space="preserve"> </w:t>
      </w:r>
      <w:r w:rsidRPr="0063181D">
        <w:rPr>
          <w:sz w:val="24"/>
          <w:szCs w:val="24"/>
          <w:lang w:eastAsia="pl-PL"/>
        </w:rPr>
        <w:t xml:space="preserve">Sytuacja finansowa w zakresie rentowności oraz płynności spółek różnicowała w sposób najbardziej widoczny kształtowanie się kursów akcji w sektorze spożywczym. Ujemny związek między stopniem zadłużenia a stopami zwrotu, osiąganymi z inwestycji </w:t>
      </w:r>
      <w:r>
        <w:rPr>
          <w:sz w:val="24"/>
          <w:szCs w:val="24"/>
          <w:lang w:eastAsia="pl-PL"/>
        </w:rPr>
        <w:t>w akcje</w:t>
      </w:r>
      <w:r w:rsidRPr="0063181D">
        <w:rPr>
          <w:sz w:val="24"/>
          <w:szCs w:val="24"/>
          <w:lang w:eastAsia="pl-PL"/>
        </w:rPr>
        <w:t xml:space="preserve"> analizowanych spółek stwierdzono głównie w budownictwie. </w:t>
      </w:r>
      <w:r w:rsidRPr="0063181D">
        <w:rPr>
          <w:sz w:val="24"/>
          <w:szCs w:val="24"/>
        </w:rPr>
        <w:lastRenderedPageBreak/>
        <w:t>W</w:t>
      </w:r>
      <w:r>
        <w:rPr>
          <w:sz w:val="24"/>
          <w:szCs w:val="24"/>
        </w:rPr>
        <w:t> </w:t>
      </w:r>
      <w:r w:rsidRPr="0063181D">
        <w:rPr>
          <w:color w:val="000000" w:themeColor="text1"/>
          <w:sz w:val="24"/>
          <w:szCs w:val="24"/>
        </w:rPr>
        <w:t>badanym okresie najwyższe stopy zwrotu osiągnęły spółki z przemysłu elektromaszynowego, a następnie spożywczego, co wiązało się z lepszą kondycją finansową przedsiębiorstw z tych sektorów. Najniższe stopy zwrotu odnotowano w spółkach budowlanych, które osiągały jednocześnie najsłabsze wyniki finansowe.</w:t>
      </w:r>
    </w:p>
    <w:p w:rsidR="00BC6370" w:rsidRPr="0063181D" w:rsidRDefault="00BC6370" w:rsidP="00BC6370">
      <w:pPr>
        <w:pStyle w:val="Akapitzlist"/>
        <w:tabs>
          <w:tab w:val="left" w:pos="0"/>
        </w:tabs>
        <w:ind w:left="0" w:firstLine="0"/>
        <w:rPr>
          <w:sz w:val="24"/>
          <w:szCs w:val="24"/>
          <w:lang w:eastAsia="pl-PL"/>
        </w:rPr>
      </w:pPr>
      <w:r w:rsidRPr="0063181D">
        <w:rPr>
          <w:sz w:val="24"/>
          <w:szCs w:val="24"/>
          <w:lang w:eastAsia="pl-PL"/>
        </w:rPr>
        <w:tab/>
        <w:t>Dane makroekonomiczne w przypadku spółek z wszystkich badanych sektorów, poza spożywczym, miały znaczące odzwierciedlenie w kształtowaniu się cen na rynku kapitałowym.</w:t>
      </w:r>
      <w:r w:rsidRPr="0063181D">
        <w:t xml:space="preserve"> </w:t>
      </w:r>
      <w:r w:rsidRPr="0063181D">
        <w:rPr>
          <w:sz w:val="24"/>
          <w:szCs w:val="24"/>
          <w:lang w:eastAsia="pl-PL"/>
        </w:rPr>
        <w:t>Sektor spożywczy był najmniej podatny na wahania koniunktury gospodarczej, także w okresie kryzysu. Duże podobieństwo pod względem zależności między cenami akcji a wskaźnikami makroekonomicznymi stwierdzono w przypadku spółek z przemysłu budowlanego i metalowego, co może wynikać z silnego powiązania między tymi sektorami.</w:t>
      </w:r>
      <w:r w:rsidRPr="0063181D">
        <w:rPr>
          <w:color w:val="000000" w:themeColor="text1"/>
          <w:sz w:val="24"/>
          <w:szCs w:val="24"/>
        </w:rPr>
        <w:t xml:space="preserve"> </w:t>
      </w:r>
      <w:r w:rsidRPr="0063181D">
        <w:rPr>
          <w:sz w:val="24"/>
          <w:szCs w:val="24"/>
          <w:lang w:eastAsia="pl-PL"/>
        </w:rPr>
        <w:t>Dane makroekonomiczne, opisujące koniunkturę w Polsce były najsilniej skorelowane z notowaniami spółek przemysłowych w okresie światowego kryzysu. W czasie stosunkowo spokojnej sytuacji lub w okresie korzystnej koniunktury giełdowej, ceny akcji skorelowane były w mniejszym stopniu z wskaźnikami makroekonomicznymi. Ceny akcji w przedsiębiorstwach z przemysłu metalowego były najsilniej skorelowane z indeksem francuskim i japońskim. Dodatnią korelację z kursami akcji spółek należących do tego sektora elektromaszynowego odnotowano z indeksem, dotyczącym spółek notowanych na rynkach rozwiniętych, natomiast przedsiębiorstwa z sektora spożywczego były silnie skorelowane z indeksem indyjskim.</w:t>
      </w:r>
    </w:p>
    <w:p w:rsidR="00BC6370" w:rsidRPr="0063181D" w:rsidRDefault="00BC6370" w:rsidP="00BC6370">
      <w:pPr>
        <w:pStyle w:val="Akapitzlist"/>
        <w:tabs>
          <w:tab w:val="left" w:pos="0"/>
        </w:tabs>
        <w:spacing w:after="120"/>
        <w:ind w:left="0" w:firstLine="0"/>
        <w:rPr>
          <w:sz w:val="24"/>
          <w:szCs w:val="24"/>
        </w:rPr>
      </w:pPr>
      <w:r>
        <w:rPr>
          <w:sz w:val="24"/>
          <w:szCs w:val="24"/>
        </w:rPr>
        <w:tab/>
        <w:t>Na podstawie</w:t>
      </w:r>
      <w:r w:rsidRPr="0063181D">
        <w:rPr>
          <w:sz w:val="24"/>
          <w:szCs w:val="24"/>
        </w:rPr>
        <w:t xml:space="preserve"> kwestionariusza wywiadu, przeprowadzonego wśród inwestorów z domów maklerskich o długiej historii funkcjonowania stwierdzono, że inwestorzy przy podejmowaniu decyzji na rynku kapitałowym kierują się w głównej mierze tendencjami na światowych giełdach oraz wynikami finansowymi spółek. Wśród czynników makroekonomicznych wskazano informacje dotyczące dynamiki PKB, kursów walut oraz stóp procentowych, a za mniej znaczące uznano te związane z rynkiem pracy. </w:t>
      </w:r>
      <w:r w:rsidRPr="0063181D">
        <w:rPr>
          <w:sz w:val="24"/>
          <w:szCs w:val="24"/>
          <w:lang w:eastAsia="pl-PL"/>
        </w:rPr>
        <w:t xml:space="preserve">Zdaniem inwestorów, </w:t>
      </w:r>
      <w:r w:rsidRPr="0063181D">
        <w:rPr>
          <w:sz w:val="24"/>
          <w:szCs w:val="24"/>
        </w:rPr>
        <w:t>spośród podstawowych grup wskaźników finansowych, najważniejszymi w procesie podejmowania decyzji na rynku kapitałowym są te odzwierciedlające rentowność, a następnie płynność finansową.</w:t>
      </w:r>
    </w:p>
    <w:p w:rsidR="00BC6370" w:rsidRPr="00CD46FB" w:rsidRDefault="00BC6370" w:rsidP="00BC6370">
      <w:pPr>
        <w:pStyle w:val="Akapitzlist"/>
        <w:tabs>
          <w:tab w:val="left" w:pos="0"/>
        </w:tabs>
        <w:spacing w:after="120"/>
        <w:ind w:left="0" w:firstLine="0"/>
        <w:rPr>
          <w:sz w:val="24"/>
          <w:szCs w:val="24"/>
        </w:rPr>
      </w:pPr>
      <w:r w:rsidRPr="0063181D">
        <w:rPr>
          <w:sz w:val="24"/>
          <w:szCs w:val="24"/>
        </w:rPr>
        <w:tab/>
        <w:t>Przeprowadzone badania zwracają uwagę na konieczność uwzględniania czynników zewnętrznych, które są kluczowe przy podejmowaniu decyzji inwestycyjnych na rynku kapitałowym. Wskaźników finansowych nie należy jednak pomijać, a analiza finansowa powinna pełnić funkcję wspomagającą przy prognozowaniu przyszłej koniunktury giełdowej.</w:t>
      </w:r>
    </w:p>
    <w:p w:rsidR="00BC6370" w:rsidRPr="00CF400A" w:rsidRDefault="00BC6370" w:rsidP="00BC6370">
      <w:pPr>
        <w:jc w:val="center"/>
        <w:rPr>
          <w:b/>
          <w:sz w:val="24"/>
          <w:szCs w:val="24"/>
        </w:rPr>
      </w:pPr>
    </w:p>
    <w:p w:rsidR="00BC6370" w:rsidRDefault="00BC6370" w:rsidP="00BC6370">
      <w:pPr>
        <w:jc w:val="center"/>
        <w:rPr>
          <w:b/>
          <w:sz w:val="24"/>
          <w:szCs w:val="24"/>
          <w:lang w:val="en-US"/>
        </w:rPr>
      </w:pPr>
      <w:r w:rsidRPr="00AD1791">
        <w:rPr>
          <w:b/>
          <w:sz w:val="24"/>
          <w:szCs w:val="24"/>
          <w:lang w:val="en-US"/>
        </w:rPr>
        <w:lastRenderedPageBreak/>
        <w:t>Summary</w:t>
      </w:r>
    </w:p>
    <w:p w:rsidR="00BC6370" w:rsidRPr="00AA3EB6" w:rsidRDefault="00BC6370" w:rsidP="00BC6370">
      <w:pPr>
        <w:jc w:val="center"/>
        <w:rPr>
          <w:b/>
          <w:lang w:val="en-US"/>
        </w:rPr>
      </w:pPr>
    </w:p>
    <w:p w:rsidR="00BC6370" w:rsidRDefault="00BC6370" w:rsidP="00BC6370">
      <w:pPr>
        <w:ind w:firstLine="567"/>
        <w:jc w:val="center"/>
        <w:rPr>
          <w:rFonts w:eastAsia="Times New Roman"/>
          <w:b/>
          <w:sz w:val="24"/>
          <w:szCs w:val="24"/>
          <w:lang w:val="en-US" w:eastAsia="pl-PL"/>
        </w:rPr>
      </w:pPr>
      <w:r w:rsidRPr="00E452AD">
        <w:rPr>
          <w:rFonts w:eastAsia="Times New Roman"/>
          <w:b/>
          <w:sz w:val="24"/>
          <w:szCs w:val="24"/>
          <w:lang w:val="en-US" w:eastAsia="pl-PL"/>
        </w:rPr>
        <w:t>Economic and financial conditions of stock price volatility of industrial companies</w:t>
      </w:r>
    </w:p>
    <w:p w:rsidR="00BC6370" w:rsidRPr="00FE0EA8" w:rsidRDefault="00BC6370" w:rsidP="00BC6370">
      <w:pPr>
        <w:ind w:firstLine="567"/>
        <w:rPr>
          <w:rFonts w:eastAsia="Times New Roman"/>
          <w:b/>
          <w:sz w:val="24"/>
          <w:szCs w:val="24"/>
          <w:lang w:val="en-US" w:eastAsia="pl-PL"/>
        </w:rPr>
      </w:pPr>
    </w:p>
    <w:p w:rsidR="00BC6370" w:rsidRPr="00E452AD" w:rsidRDefault="00BC6370" w:rsidP="00BC6370">
      <w:pPr>
        <w:pStyle w:val="Akapitzlist"/>
        <w:tabs>
          <w:tab w:val="left" w:pos="0"/>
        </w:tabs>
        <w:spacing w:after="120"/>
        <w:ind w:left="0" w:firstLine="0"/>
        <w:rPr>
          <w:sz w:val="24"/>
          <w:szCs w:val="24"/>
          <w:lang w:val="en-US"/>
        </w:rPr>
      </w:pPr>
      <w:r>
        <w:rPr>
          <w:sz w:val="24"/>
          <w:szCs w:val="24"/>
          <w:lang w:val="en-US"/>
        </w:rPr>
        <w:tab/>
      </w:r>
      <w:r w:rsidRPr="00E452AD">
        <w:rPr>
          <w:sz w:val="24"/>
          <w:szCs w:val="24"/>
          <w:lang w:val="en-US"/>
        </w:rPr>
        <w:t xml:space="preserve">The subject of the determinants of stock prices is frequently raised in the Polish and international specialist literature. </w:t>
      </w:r>
      <w:r w:rsidRPr="007761A3">
        <w:rPr>
          <w:sz w:val="24"/>
          <w:szCs w:val="24"/>
          <w:lang w:val="en-US"/>
        </w:rPr>
        <w:t xml:space="preserve">Due to the fact that companies are primarily </w:t>
      </w:r>
      <w:r>
        <w:rPr>
          <w:sz w:val="24"/>
          <w:szCs w:val="24"/>
          <w:lang w:val="en-US"/>
        </w:rPr>
        <w:t>issuers of </w:t>
      </w:r>
      <w:r w:rsidRPr="007761A3">
        <w:rPr>
          <w:sz w:val="24"/>
          <w:szCs w:val="24"/>
          <w:lang w:val="en-US"/>
        </w:rPr>
        <w:t>securities on the stock exchange, investors commonly think that their financial conditions have a significant impact on stock price volatility. However, changes in quote</w:t>
      </w:r>
      <w:r>
        <w:rPr>
          <w:sz w:val="24"/>
          <w:szCs w:val="24"/>
          <w:lang w:val="en-US"/>
        </w:rPr>
        <w:t xml:space="preserve">s </w:t>
      </w:r>
      <w:r w:rsidRPr="007761A3">
        <w:rPr>
          <w:sz w:val="24"/>
          <w:szCs w:val="24"/>
          <w:lang w:val="en-US"/>
        </w:rPr>
        <w:t>can be affected by numerous factors, among which the situation in a particular branch and the whole national economy as well as trends on international stock exchanges are of some significance. This dissertation presents the r</w:t>
      </w:r>
      <w:r>
        <w:rPr>
          <w:sz w:val="24"/>
          <w:szCs w:val="24"/>
          <w:lang w:val="en-US"/>
        </w:rPr>
        <w:t xml:space="preserve">elationship </w:t>
      </w:r>
      <w:r w:rsidRPr="007761A3">
        <w:rPr>
          <w:sz w:val="24"/>
          <w:szCs w:val="24"/>
          <w:lang w:val="en-US"/>
        </w:rPr>
        <w:t>between the econo</w:t>
      </w:r>
      <w:r>
        <w:rPr>
          <w:sz w:val="24"/>
          <w:szCs w:val="24"/>
          <w:lang w:val="en-US"/>
        </w:rPr>
        <w:t>mic and financial conditions of </w:t>
      </w:r>
      <w:r w:rsidRPr="007761A3">
        <w:rPr>
          <w:sz w:val="24"/>
          <w:szCs w:val="24"/>
          <w:lang w:val="en-US"/>
        </w:rPr>
        <w:t>industrial companies quoted on the Warsaw Stock Exchange and their stock prices. Moreover, the effects of the macroeconomic situation and c</w:t>
      </w:r>
      <w:r>
        <w:rPr>
          <w:sz w:val="24"/>
          <w:szCs w:val="24"/>
          <w:lang w:val="en-US"/>
        </w:rPr>
        <w:t xml:space="preserve">hanges </w:t>
      </w:r>
      <w:r w:rsidRPr="007761A3">
        <w:rPr>
          <w:sz w:val="24"/>
          <w:szCs w:val="24"/>
          <w:lang w:val="en-US"/>
        </w:rPr>
        <w:t xml:space="preserve">on stock market quotations on major stock exchanges in the world were evaluated. </w:t>
      </w:r>
      <w:r w:rsidRPr="00E452AD">
        <w:rPr>
          <w:sz w:val="24"/>
          <w:szCs w:val="24"/>
          <w:lang w:val="en-US"/>
        </w:rPr>
        <w:t xml:space="preserve">The study dealt with companies from four industrial branches, i.e. building industry, machine engineering, as well food and metal industries. The study period included the years 2008-2012.            </w:t>
      </w:r>
    </w:p>
    <w:p w:rsidR="00BC6370" w:rsidRPr="00E452AD" w:rsidRDefault="00BC6370" w:rsidP="00BC6370">
      <w:pPr>
        <w:pStyle w:val="Akapitzlist"/>
        <w:tabs>
          <w:tab w:val="left" w:pos="0"/>
        </w:tabs>
        <w:spacing w:after="120"/>
        <w:ind w:left="0" w:firstLine="0"/>
        <w:rPr>
          <w:sz w:val="24"/>
          <w:szCs w:val="24"/>
          <w:lang w:val="en-US"/>
        </w:rPr>
      </w:pPr>
      <w:r w:rsidRPr="00E452AD">
        <w:rPr>
          <w:sz w:val="24"/>
          <w:szCs w:val="24"/>
          <w:lang w:val="en-US"/>
        </w:rPr>
        <w:t xml:space="preserve">       Basing on the multiple regression analysis, which describes mean stock prices of the examined industrial companies using financial ratios, it was stated that stock price volatility, apart from the profitability and liquidity ratios, depended on the financial data including net investment cash flow, equity capital and debt-equity ratios. </w:t>
      </w:r>
      <w:r w:rsidRPr="007761A3">
        <w:rPr>
          <w:sz w:val="24"/>
          <w:szCs w:val="24"/>
          <w:lang w:val="en-US"/>
        </w:rPr>
        <w:t xml:space="preserve">Whereas the results of the study based on the structure of cointegration models revealed that the economic and financial situation determined stock price volatility to a lesser degree than the macroeconomic indicators and economic conditions on the leading international stock markets. Stock market volatility of the companies in the analyzed industrial branches was better explained by the market data, i.e. macroeconomic variables and major international stock market indices, as compared to the financial data. </w:t>
      </w:r>
      <w:r w:rsidRPr="00E452AD">
        <w:rPr>
          <w:sz w:val="24"/>
          <w:szCs w:val="24"/>
          <w:lang w:val="en-US"/>
        </w:rPr>
        <w:t xml:space="preserve">Financial performance ratios of the companies were not sufficient to explain stock prices within the industrial companies studied. </w:t>
      </w:r>
    </w:p>
    <w:p w:rsidR="00BC6370" w:rsidRPr="00E452AD" w:rsidRDefault="00BC6370" w:rsidP="00BC6370">
      <w:pPr>
        <w:pStyle w:val="Akapitzlist"/>
        <w:tabs>
          <w:tab w:val="left" w:pos="0"/>
        </w:tabs>
        <w:spacing w:after="120"/>
        <w:ind w:left="0" w:firstLine="0"/>
        <w:rPr>
          <w:sz w:val="24"/>
          <w:szCs w:val="24"/>
          <w:lang w:val="en-US"/>
        </w:rPr>
      </w:pPr>
      <w:r w:rsidRPr="00E452AD">
        <w:rPr>
          <w:sz w:val="24"/>
          <w:szCs w:val="24"/>
          <w:lang w:val="en-US"/>
        </w:rPr>
        <w:tab/>
        <w:t xml:space="preserve">Branch affiliation diversified relationships between the financial conditions of the companies and their stock prices. The financial situation concerning profitability and liquidity of the companies most evidently diversified stock price volatility in food industry. A negative correlation between the degree of dept-equity ratio and stock returns achieved from the stock investment of the analyzed companies was mainly observed in the construction industry. </w:t>
      </w:r>
      <w:r w:rsidRPr="007761A3">
        <w:rPr>
          <w:sz w:val="24"/>
          <w:szCs w:val="24"/>
          <w:lang w:val="en-US"/>
        </w:rPr>
        <w:t xml:space="preserve">In the period studied, the highest stock returns were obtained in the machine-engineering companies followed by the food industry companies, which was associated with a better </w:t>
      </w:r>
      <w:r w:rsidRPr="007761A3">
        <w:rPr>
          <w:sz w:val="24"/>
          <w:szCs w:val="24"/>
          <w:lang w:val="en-US"/>
        </w:rPr>
        <w:lastRenderedPageBreak/>
        <w:t xml:space="preserve">financial condition of these branch companies. </w:t>
      </w:r>
      <w:r w:rsidRPr="00E452AD">
        <w:rPr>
          <w:sz w:val="24"/>
          <w:szCs w:val="24"/>
          <w:lang w:val="en-US"/>
        </w:rPr>
        <w:t xml:space="preserve">The lowest stock returns were recorded in the building industry companies, which had the weakest financial performance.             </w:t>
      </w:r>
    </w:p>
    <w:p w:rsidR="00BC6370" w:rsidRPr="00E452AD" w:rsidRDefault="00BC6370" w:rsidP="00BC6370">
      <w:pPr>
        <w:pStyle w:val="Akapitzlist"/>
        <w:tabs>
          <w:tab w:val="left" w:pos="0"/>
        </w:tabs>
        <w:spacing w:after="120"/>
        <w:ind w:left="0" w:firstLine="0"/>
        <w:rPr>
          <w:sz w:val="24"/>
          <w:szCs w:val="24"/>
          <w:lang w:val="en-US"/>
        </w:rPr>
      </w:pPr>
      <w:r w:rsidRPr="00E452AD">
        <w:rPr>
          <w:sz w:val="24"/>
          <w:szCs w:val="24"/>
          <w:lang w:val="en-US"/>
        </w:rPr>
        <w:tab/>
        <w:t xml:space="preserve">Macroeconomic data in the case of companies from all studied branches, apart from the food industry, were reflected in the stock price volatility on the capital market. The food branch was the least susceptible to changes in the economic situation, also in the crisis period. Strong similarity as regards the relationship between stock prices and microeconomic indicators was found in the case of building and metal industry companies, which can result from a strong correlation between those branches. Macroeconomic data describing the economic situation in Poland were most strongly correlated with quotations of industrial companies at the time of the world crisis. </w:t>
      </w:r>
      <w:r w:rsidRPr="007761A3">
        <w:rPr>
          <w:sz w:val="24"/>
          <w:szCs w:val="24"/>
          <w:lang w:val="en-US"/>
        </w:rPr>
        <w:t xml:space="preserve">During a relatively peaceful situation or a period of the bull market, stock prices were correlated to a lesser degree with macroeconomic indicators. </w:t>
      </w:r>
      <w:r w:rsidRPr="00E452AD">
        <w:rPr>
          <w:sz w:val="24"/>
          <w:szCs w:val="24"/>
          <w:lang w:val="en-US"/>
        </w:rPr>
        <w:t xml:space="preserve">Stock prices in the companies of the metal industry were most strongly correlated with the French and Japanese stock market indices. A positive correlation with stock prices belonging to the machine- engineering branch was recorded for the index concerning the companies quoted on the developed markets, while the companies from the food industry were strongly correlated with the Indian stock market index. </w:t>
      </w:r>
    </w:p>
    <w:p w:rsidR="00BC6370" w:rsidRPr="007761A3" w:rsidRDefault="00BC6370" w:rsidP="00BC6370">
      <w:pPr>
        <w:pStyle w:val="Akapitzlist"/>
        <w:tabs>
          <w:tab w:val="left" w:pos="0"/>
        </w:tabs>
        <w:spacing w:after="120"/>
        <w:ind w:left="0" w:firstLine="0"/>
        <w:rPr>
          <w:sz w:val="24"/>
          <w:szCs w:val="24"/>
          <w:lang w:val="en-US"/>
        </w:rPr>
      </w:pPr>
      <w:r w:rsidRPr="00E452AD">
        <w:rPr>
          <w:sz w:val="24"/>
          <w:szCs w:val="24"/>
          <w:lang w:val="en-US"/>
        </w:rPr>
        <w:tab/>
        <w:t xml:space="preserve">On the basis of the survey conducted among investors from the brokerages which had been in the business for a long time, it was found that the investors making decisions on the capital market took into consideration trends on the world stock exchanges and the financial performance of companies. Among the macroeconomic factors, information on the GDP dynamics, as well as on the exchange and interest rates was indicated, whereas the information on the labor market was considered less significant. </w:t>
      </w:r>
      <w:r w:rsidRPr="007761A3">
        <w:rPr>
          <w:sz w:val="24"/>
          <w:szCs w:val="24"/>
          <w:lang w:val="en-US"/>
        </w:rPr>
        <w:t xml:space="preserve">According to the investors' opinion, the most important basic groups of financial performance ratios in the process of making the decision on the capital market are those reflecting profitability ratios followed by financial liquidity ratios. </w:t>
      </w:r>
    </w:p>
    <w:p w:rsidR="00BC6370" w:rsidRPr="00E452AD" w:rsidRDefault="00BC6370" w:rsidP="00BC6370">
      <w:pPr>
        <w:pStyle w:val="Akapitzlist"/>
        <w:tabs>
          <w:tab w:val="left" w:pos="0"/>
        </w:tabs>
        <w:spacing w:after="120"/>
        <w:ind w:left="0" w:firstLine="0"/>
        <w:rPr>
          <w:sz w:val="24"/>
          <w:szCs w:val="24"/>
          <w:lang w:val="en-US"/>
        </w:rPr>
      </w:pPr>
      <w:r w:rsidRPr="007761A3">
        <w:rPr>
          <w:sz w:val="24"/>
          <w:szCs w:val="24"/>
          <w:lang w:val="en-US"/>
        </w:rPr>
        <w:tab/>
      </w:r>
      <w:r w:rsidRPr="00E452AD">
        <w:rPr>
          <w:sz w:val="24"/>
          <w:szCs w:val="24"/>
          <w:lang w:val="en-US"/>
        </w:rPr>
        <w:t xml:space="preserve">The performed study draws attention to the necessity of considering external conditions which are essential while making investment decisions on the capital market. However, financial performance ratios should not be neglected, and the financial analysis should support forecasting of stock market trends.           </w:t>
      </w:r>
    </w:p>
    <w:p w:rsidR="00BC6370" w:rsidRPr="00E452AD" w:rsidRDefault="00BC6370" w:rsidP="00BC6370">
      <w:pPr>
        <w:pStyle w:val="Akapitzlist"/>
        <w:tabs>
          <w:tab w:val="left" w:pos="0"/>
        </w:tabs>
        <w:spacing w:after="120"/>
        <w:ind w:left="0" w:firstLine="0"/>
        <w:rPr>
          <w:sz w:val="24"/>
          <w:szCs w:val="24"/>
          <w:lang w:val="en-US"/>
        </w:rPr>
      </w:pPr>
      <w:r w:rsidRPr="00E452AD">
        <w:rPr>
          <w:sz w:val="24"/>
          <w:szCs w:val="24"/>
          <w:lang w:val="en-US"/>
        </w:rPr>
        <w:tab/>
        <w:t xml:space="preserve">             </w:t>
      </w:r>
      <w:r w:rsidRPr="00E452AD">
        <w:rPr>
          <w:sz w:val="24"/>
          <w:szCs w:val="24"/>
          <w:lang w:val="en-US"/>
        </w:rPr>
        <w:tab/>
        <w:t xml:space="preserve">                         </w:t>
      </w:r>
      <w:r w:rsidRPr="00E452AD">
        <w:rPr>
          <w:sz w:val="24"/>
          <w:szCs w:val="24"/>
          <w:lang w:val="en-US"/>
        </w:rPr>
        <w:tab/>
      </w:r>
    </w:p>
    <w:p w:rsidR="00BC6370" w:rsidRPr="00E452AD" w:rsidRDefault="00BC6370" w:rsidP="00BC6370">
      <w:pPr>
        <w:pStyle w:val="Akapitzlist"/>
        <w:tabs>
          <w:tab w:val="left" w:pos="0"/>
        </w:tabs>
        <w:spacing w:after="120"/>
        <w:ind w:left="0" w:firstLine="0"/>
        <w:rPr>
          <w:sz w:val="24"/>
          <w:szCs w:val="24"/>
          <w:lang w:val="en-US"/>
        </w:rPr>
      </w:pPr>
    </w:p>
    <w:p w:rsidR="00BC6370" w:rsidRPr="00E452AD" w:rsidRDefault="00BC6370" w:rsidP="00BC6370">
      <w:pPr>
        <w:pStyle w:val="Akapitzlist"/>
        <w:tabs>
          <w:tab w:val="left" w:pos="0"/>
        </w:tabs>
        <w:spacing w:after="120"/>
        <w:ind w:left="0" w:firstLine="0"/>
        <w:rPr>
          <w:sz w:val="24"/>
          <w:szCs w:val="24"/>
          <w:lang w:val="en-US"/>
        </w:rPr>
      </w:pPr>
    </w:p>
    <w:p w:rsidR="00352113" w:rsidRDefault="00352113"/>
    <w:sectPr w:rsidR="00352113" w:rsidSect="0035211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compat/>
  <w:rsids>
    <w:rsidRoot w:val="00BC6370"/>
    <w:rsid w:val="00352113"/>
    <w:rsid w:val="00BC637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C6370"/>
    <w:pPr>
      <w:spacing w:after="0" w:line="360" w:lineRule="auto"/>
      <w:ind w:firstLine="708"/>
      <w:jc w:val="both"/>
    </w:pPr>
    <w:rPr>
      <w:rFonts w:ascii="Times New Roman" w:eastAsia="Calibri" w:hAnsi="Times New Roman"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BC6370"/>
    <w:pPr>
      <w:ind w:left="720"/>
      <w:contextualSpacing/>
    </w:pPr>
  </w:style>
  <w:style w:type="character" w:customStyle="1" w:styleId="AkapitzlistZnak">
    <w:name w:val="Akapit z listą Znak"/>
    <w:basedOn w:val="Domylnaczcionkaakapitu"/>
    <w:link w:val="Akapitzlist"/>
    <w:uiPriority w:val="34"/>
    <w:locked/>
    <w:rsid w:val="00BC6370"/>
    <w:rPr>
      <w:rFonts w:ascii="Times New Roman" w:eastAsia="Calibri" w:hAnsi="Times New Roman"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1477</Words>
  <Characters>8863</Characters>
  <Application>Microsoft Office Word</Application>
  <DocSecurity>0</DocSecurity>
  <Lines>73</Lines>
  <Paragraphs>20</Paragraphs>
  <ScaleCrop>false</ScaleCrop>
  <Company/>
  <LinksUpToDate>false</LinksUpToDate>
  <CharactersWithSpaces>10320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szpaku</dc:creator>
  <cp:lastModifiedBy>szpaku</cp:lastModifiedBy>
  <cp:revision>1</cp:revision>
  <dcterms:created xsi:type="dcterms:W3CDTF">2015-09-24T17:53:00Z</dcterms:created>
  <dcterms:modified xsi:type="dcterms:W3CDTF">2015-09-24T17:54:00Z</dcterms:modified>
</cp:coreProperties>
</file>