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8E0" w:rsidRPr="003B28E0" w:rsidRDefault="003B28E0" w:rsidP="003B28E0">
      <w:pPr>
        <w:spacing w:after="0" w:line="240" w:lineRule="auto"/>
        <w:jc w:val="center"/>
        <w:rPr>
          <w:rFonts w:ascii="Times New Roman" w:hAnsi="Times New Roman" w:cs="Times New Roman"/>
          <w:b/>
          <w:sz w:val="24"/>
          <w:szCs w:val="24"/>
          <w:lang w:val="en-US"/>
        </w:rPr>
      </w:pPr>
      <w:r w:rsidRPr="003B28E0">
        <w:rPr>
          <w:rFonts w:ascii="Times New Roman" w:hAnsi="Times New Roman" w:cs="Times New Roman"/>
          <w:b/>
          <w:sz w:val="24"/>
          <w:szCs w:val="24"/>
          <w:lang w:val="en-US"/>
        </w:rPr>
        <w:t>Summary</w:t>
      </w:r>
    </w:p>
    <w:p w:rsidR="003B28E0" w:rsidRPr="003B28E0" w:rsidRDefault="003B28E0" w:rsidP="003B28E0">
      <w:pPr>
        <w:spacing w:after="0" w:line="240" w:lineRule="auto"/>
        <w:jc w:val="center"/>
        <w:rPr>
          <w:rFonts w:ascii="Times New Roman" w:hAnsi="Times New Roman" w:cs="Times New Roman"/>
          <w:b/>
          <w:sz w:val="24"/>
          <w:szCs w:val="24"/>
        </w:rPr>
      </w:pPr>
      <w:r w:rsidRPr="003B28E0">
        <w:rPr>
          <w:rFonts w:ascii="Times New Roman" w:hAnsi="Times New Roman" w:cs="Times New Roman"/>
          <w:b/>
          <w:sz w:val="24"/>
          <w:szCs w:val="24"/>
        </w:rPr>
        <w:t>Uwarunkowania i pomiar efektywności funduszy inwestycyjnych w Polsce</w:t>
      </w:r>
    </w:p>
    <w:p w:rsidR="003B28E0" w:rsidRDefault="003B28E0" w:rsidP="003B28E0">
      <w:pPr>
        <w:spacing w:after="0" w:line="240" w:lineRule="auto"/>
        <w:jc w:val="center"/>
        <w:rPr>
          <w:rFonts w:ascii="Times New Roman" w:hAnsi="Times New Roman" w:cs="Times New Roman"/>
          <w:sz w:val="24"/>
          <w:szCs w:val="24"/>
          <w:lang w:val="en-US"/>
        </w:rPr>
      </w:pPr>
      <w:r w:rsidRPr="003B28E0">
        <w:rPr>
          <w:rFonts w:ascii="Times New Roman" w:hAnsi="Times New Roman" w:cs="Times New Roman"/>
          <w:sz w:val="24"/>
          <w:szCs w:val="24"/>
          <w:lang w:val="en-US"/>
        </w:rPr>
        <w:t>mgr Emil Ochnio</w:t>
      </w:r>
    </w:p>
    <w:p w:rsidR="003B28E0" w:rsidRPr="003B28E0" w:rsidRDefault="003B28E0" w:rsidP="003B28E0">
      <w:pPr>
        <w:spacing w:after="0" w:line="240" w:lineRule="auto"/>
        <w:jc w:val="center"/>
        <w:rPr>
          <w:rFonts w:ascii="Times New Roman" w:hAnsi="Times New Roman" w:cs="Times New Roman"/>
          <w:sz w:val="24"/>
          <w:szCs w:val="24"/>
          <w:lang w:val="en-US"/>
        </w:rPr>
      </w:pPr>
    </w:p>
    <w:p w:rsidR="003B28E0" w:rsidRDefault="003B28E0" w:rsidP="003B28E0">
      <w:pPr>
        <w:pStyle w:val="Akapitzlist"/>
        <w:spacing w:after="0" w:line="360" w:lineRule="auto"/>
        <w:ind w:left="0" w:firstLine="567"/>
        <w:jc w:val="both"/>
        <w:rPr>
          <w:rFonts w:ascii="Times New Roman" w:hAnsi="Times New Roman" w:cs="Times New Roman"/>
          <w:sz w:val="24"/>
          <w:szCs w:val="24"/>
          <w:lang w:val="en-US"/>
        </w:rPr>
      </w:pPr>
      <w:r>
        <w:rPr>
          <w:rFonts w:ascii="Times New Roman" w:hAnsi="Times New Roman" w:cs="Times New Roman"/>
          <w:sz w:val="24"/>
          <w:szCs w:val="24"/>
          <w:lang w:val="en-US"/>
        </w:rPr>
        <w:t>The re</w:t>
      </w:r>
      <w:r w:rsidRPr="00247C64">
        <w:rPr>
          <w:rFonts w:ascii="Times New Roman" w:hAnsi="Times New Roman" w:cs="Times New Roman"/>
          <w:sz w:val="24"/>
          <w:szCs w:val="24"/>
          <w:lang w:val="en-US"/>
        </w:rPr>
        <w:t xml:space="preserve">search presented in the </w:t>
      </w:r>
      <w:r>
        <w:rPr>
          <w:rFonts w:ascii="Times New Roman" w:hAnsi="Times New Roman" w:cs="Times New Roman"/>
          <w:sz w:val="24"/>
          <w:szCs w:val="24"/>
          <w:lang w:val="en-US"/>
        </w:rPr>
        <w:t xml:space="preserve">dissertation </w:t>
      </w:r>
      <w:r w:rsidRPr="00247C64">
        <w:rPr>
          <w:rFonts w:ascii="Times New Roman" w:hAnsi="Times New Roman" w:cs="Times New Roman"/>
          <w:sz w:val="24"/>
          <w:szCs w:val="24"/>
          <w:lang w:val="en-US"/>
        </w:rPr>
        <w:t xml:space="preserve">is a response to the need for a thorough analysis of the effectiveness of the funds operating in different macroeconomic </w:t>
      </w:r>
      <w:r>
        <w:rPr>
          <w:rFonts w:ascii="Times New Roman" w:hAnsi="Times New Roman" w:cs="Times New Roman"/>
          <w:sz w:val="24"/>
          <w:szCs w:val="24"/>
          <w:lang w:val="en-US"/>
        </w:rPr>
        <w:t xml:space="preserve">and </w:t>
      </w:r>
      <w:r w:rsidRPr="00247C64">
        <w:rPr>
          <w:rFonts w:ascii="Times New Roman" w:hAnsi="Times New Roman" w:cs="Times New Roman"/>
          <w:sz w:val="24"/>
          <w:szCs w:val="24"/>
          <w:lang w:val="en-US"/>
        </w:rPr>
        <w:t xml:space="preserve">structural conditions. The problem of identification of factors affecting the efficiency of the investment fund is not a frequent subject of economic analysis conducted in Poland. Many existing studies focused more on assessing the effectiveness of different types of funds, or compared their effectiveness depending on the investment portfolio. In the literature, there are not too many studies trying to find a link between the effectiveness of funds and </w:t>
      </w:r>
      <w:r>
        <w:rPr>
          <w:rFonts w:ascii="Times New Roman" w:hAnsi="Times New Roman" w:cs="Times New Roman"/>
          <w:sz w:val="24"/>
          <w:szCs w:val="24"/>
          <w:lang w:val="en-US"/>
        </w:rPr>
        <w:t xml:space="preserve">affecting them </w:t>
      </w:r>
      <w:r w:rsidRPr="00247C64">
        <w:rPr>
          <w:rFonts w:ascii="Times New Roman" w:hAnsi="Times New Roman" w:cs="Times New Roman"/>
          <w:sz w:val="24"/>
          <w:szCs w:val="24"/>
          <w:lang w:val="en-US"/>
        </w:rPr>
        <w:t xml:space="preserve">micro- and macroeconomic factors. The choice of the topic of the dissertation is also associated with an attempt to </w:t>
      </w:r>
      <w:r>
        <w:rPr>
          <w:rFonts w:ascii="Times New Roman" w:hAnsi="Times New Roman" w:cs="Times New Roman"/>
          <w:sz w:val="24"/>
          <w:szCs w:val="24"/>
          <w:lang w:val="en-US"/>
        </w:rPr>
        <w:t xml:space="preserve">bring closer </w:t>
      </w:r>
      <w:r w:rsidRPr="00247C64">
        <w:rPr>
          <w:rFonts w:ascii="Times New Roman" w:hAnsi="Times New Roman" w:cs="Times New Roman"/>
          <w:sz w:val="24"/>
          <w:szCs w:val="24"/>
          <w:lang w:val="en-US"/>
        </w:rPr>
        <w:t xml:space="preserve">the possibility of using various methods </w:t>
      </w:r>
      <w:r>
        <w:rPr>
          <w:rFonts w:ascii="Times New Roman" w:hAnsi="Times New Roman" w:cs="Times New Roman"/>
          <w:sz w:val="24"/>
          <w:szCs w:val="24"/>
          <w:lang w:val="en-US"/>
        </w:rPr>
        <w:t xml:space="preserve">of </w:t>
      </w:r>
      <w:r w:rsidRPr="00247C64">
        <w:rPr>
          <w:rFonts w:ascii="Times New Roman" w:hAnsi="Times New Roman" w:cs="Times New Roman"/>
          <w:sz w:val="24"/>
          <w:szCs w:val="24"/>
          <w:lang w:val="en-US"/>
        </w:rPr>
        <w:t>assess</w:t>
      </w:r>
      <w:r>
        <w:rPr>
          <w:rFonts w:ascii="Times New Roman" w:hAnsi="Times New Roman" w:cs="Times New Roman"/>
          <w:sz w:val="24"/>
          <w:szCs w:val="24"/>
          <w:lang w:val="en-US"/>
        </w:rPr>
        <w:t xml:space="preserve">ing </w:t>
      </w:r>
      <w:r w:rsidRPr="00247C64">
        <w:rPr>
          <w:rFonts w:ascii="Times New Roman" w:hAnsi="Times New Roman" w:cs="Times New Roman"/>
          <w:sz w:val="24"/>
          <w:szCs w:val="24"/>
          <w:lang w:val="en-US"/>
        </w:rPr>
        <w:t xml:space="preserve">the activities of investment funds on the example of the </w:t>
      </w:r>
      <w:r>
        <w:rPr>
          <w:rFonts w:ascii="Times New Roman" w:hAnsi="Times New Roman" w:cs="Times New Roman"/>
          <w:sz w:val="24"/>
          <w:szCs w:val="24"/>
          <w:lang w:val="en-US"/>
        </w:rPr>
        <w:t xml:space="preserve">equity </w:t>
      </w:r>
      <w:r w:rsidRPr="00247C64">
        <w:rPr>
          <w:rFonts w:ascii="Times New Roman" w:hAnsi="Times New Roman" w:cs="Times New Roman"/>
          <w:sz w:val="24"/>
          <w:szCs w:val="24"/>
          <w:lang w:val="en-US"/>
        </w:rPr>
        <w:t>investment funds.</w:t>
      </w:r>
    </w:p>
    <w:p w:rsidR="003B28E0" w:rsidRPr="00247C64" w:rsidRDefault="003B28E0" w:rsidP="003B28E0">
      <w:pPr>
        <w:pStyle w:val="Akapitzlist"/>
        <w:spacing w:after="0" w:line="360" w:lineRule="auto"/>
        <w:ind w:left="0" w:firstLine="567"/>
        <w:jc w:val="both"/>
        <w:rPr>
          <w:rFonts w:ascii="Times New Roman" w:hAnsi="Times New Roman" w:cs="Times New Roman"/>
          <w:sz w:val="24"/>
          <w:szCs w:val="24"/>
          <w:lang w:val="en-US"/>
        </w:rPr>
      </w:pPr>
      <w:r w:rsidRPr="00CE33BC">
        <w:rPr>
          <w:rFonts w:ascii="Times New Roman" w:hAnsi="Times New Roman" w:cs="Times New Roman"/>
          <w:sz w:val="24"/>
          <w:szCs w:val="24"/>
          <w:lang w:val="en-US"/>
        </w:rPr>
        <w:t>The study determine</w:t>
      </w:r>
      <w:r>
        <w:rPr>
          <w:rFonts w:ascii="Times New Roman" w:hAnsi="Times New Roman" w:cs="Times New Roman"/>
          <w:sz w:val="24"/>
          <w:szCs w:val="24"/>
          <w:lang w:val="en-US"/>
        </w:rPr>
        <w:t>s</w:t>
      </w:r>
      <w:r w:rsidRPr="00CE33BC">
        <w:rPr>
          <w:rFonts w:ascii="Times New Roman" w:hAnsi="Times New Roman" w:cs="Times New Roman"/>
          <w:sz w:val="24"/>
          <w:szCs w:val="24"/>
          <w:lang w:val="en-US"/>
        </w:rPr>
        <w:t xml:space="preserve"> the effectiveness of 29 equity funds, which </w:t>
      </w:r>
      <w:r>
        <w:rPr>
          <w:rFonts w:ascii="Times New Roman" w:hAnsi="Times New Roman" w:cs="Times New Roman"/>
          <w:sz w:val="24"/>
          <w:szCs w:val="24"/>
          <w:lang w:val="en-US"/>
        </w:rPr>
        <w:t xml:space="preserve">constantly </w:t>
      </w:r>
      <w:r w:rsidRPr="00CE33BC">
        <w:rPr>
          <w:rFonts w:ascii="Times New Roman" w:hAnsi="Times New Roman" w:cs="Times New Roman"/>
          <w:sz w:val="24"/>
          <w:szCs w:val="24"/>
          <w:lang w:val="en-US"/>
        </w:rPr>
        <w:t>operated over the period 2005-2015</w:t>
      </w:r>
      <w:r>
        <w:rPr>
          <w:rFonts w:ascii="Times New Roman" w:hAnsi="Times New Roman" w:cs="Times New Roman"/>
          <w:sz w:val="24"/>
          <w:szCs w:val="24"/>
          <w:lang w:val="en-US"/>
        </w:rPr>
        <w:t xml:space="preserve">, using classic </w:t>
      </w:r>
      <w:r w:rsidRPr="00CE33BC">
        <w:rPr>
          <w:rFonts w:ascii="Times New Roman" w:hAnsi="Times New Roman" w:cs="Times New Roman"/>
          <w:sz w:val="24"/>
          <w:szCs w:val="24"/>
          <w:lang w:val="en-US"/>
        </w:rPr>
        <w:t xml:space="preserve">measures of </w:t>
      </w:r>
      <w:r>
        <w:rPr>
          <w:rFonts w:ascii="Times New Roman" w:hAnsi="Times New Roman" w:cs="Times New Roman"/>
          <w:sz w:val="24"/>
          <w:szCs w:val="24"/>
          <w:lang w:val="en-US"/>
        </w:rPr>
        <w:t xml:space="preserve">classic </w:t>
      </w:r>
      <w:r w:rsidRPr="00CE33BC">
        <w:rPr>
          <w:rFonts w:ascii="Times New Roman" w:hAnsi="Times New Roman" w:cs="Times New Roman"/>
          <w:sz w:val="24"/>
          <w:szCs w:val="24"/>
          <w:lang w:val="en-US"/>
        </w:rPr>
        <w:t xml:space="preserve">- Sharpe and </w:t>
      </w:r>
      <w:proofErr w:type="spellStart"/>
      <w:r w:rsidRPr="00CE33BC">
        <w:rPr>
          <w:rFonts w:ascii="Times New Roman" w:hAnsi="Times New Roman" w:cs="Times New Roman"/>
          <w:sz w:val="24"/>
          <w:szCs w:val="24"/>
          <w:lang w:val="en-US"/>
        </w:rPr>
        <w:t>Treynor</w:t>
      </w:r>
      <w:proofErr w:type="spellEnd"/>
      <w:r w:rsidRPr="00CE33BC">
        <w:rPr>
          <w:rFonts w:ascii="Times New Roman" w:hAnsi="Times New Roman" w:cs="Times New Roman"/>
          <w:sz w:val="24"/>
          <w:szCs w:val="24"/>
          <w:lang w:val="en-US"/>
        </w:rPr>
        <w:t xml:space="preserve"> ratios and non-classic - </w:t>
      </w:r>
      <w:proofErr w:type="spellStart"/>
      <w:r w:rsidRPr="00CE33BC">
        <w:rPr>
          <w:rFonts w:ascii="Times New Roman" w:hAnsi="Times New Roman" w:cs="Times New Roman"/>
          <w:sz w:val="24"/>
          <w:szCs w:val="24"/>
          <w:lang w:val="en-US"/>
        </w:rPr>
        <w:t>Sortino</w:t>
      </w:r>
      <w:proofErr w:type="spellEnd"/>
      <w:r w:rsidRPr="00CE33BC">
        <w:rPr>
          <w:rFonts w:ascii="Times New Roman" w:hAnsi="Times New Roman" w:cs="Times New Roman"/>
          <w:sz w:val="24"/>
          <w:szCs w:val="24"/>
          <w:lang w:val="en-US"/>
        </w:rPr>
        <w:t xml:space="preserve"> and Omega. Measurements were made for the whole period and </w:t>
      </w:r>
      <w:r>
        <w:rPr>
          <w:rFonts w:ascii="Times New Roman" w:hAnsi="Times New Roman" w:cs="Times New Roman"/>
          <w:sz w:val="24"/>
          <w:szCs w:val="24"/>
          <w:lang w:val="en-US"/>
        </w:rPr>
        <w:t>sub-</w:t>
      </w:r>
      <w:r w:rsidRPr="00CE33BC">
        <w:rPr>
          <w:rFonts w:ascii="Times New Roman" w:hAnsi="Times New Roman" w:cs="Times New Roman"/>
          <w:sz w:val="24"/>
          <w:szCs w:val="24"/>
          <w:lang w:val="en-US"/>
        </w:rPr>
        <w:t xml:space="preserve">periods </w:t>
      </w:r>
      <w:r>
        <w:rPr>
          <w:rFonts w:ascii="Times New Roman" w:hAnsi="Times New Roman" w:cs="Times New Roman"/>
          <w:sz w:val="24"/>
          <w:szCs w:val="24"/>
          <w:lang w:val="en-US"/>
        </w:rPr>
        <w:t xml:space="preserve">(years: </w:t>
      </w:r>
      <w:r w:rsidRPr="00CE33BC">
        <w:rPr>
          <w:rFonts w:ascii="Times New Roman" w:hAnsi="Times New Roman" w:cs="Times New Roman"/>
          <w:sz w:val="24"/>
          <w:szCs w:val="24"/>
          <w:lang w:val="en-US"/>
        </w:rPr>
        <w:t>2005-2007, 2008-2011 and 2012-2015</w:t>
      </w:r>
      <w:r>
        <w:rPr>
          <w:rFonts w:ascii="Times New Roman" w:hAnsi="Times New Roman" w:cs="Times New Roman"/>
          <w:sz w:val="24"/>
          <w:szCs w:val="24"/>
          <w:lang w:val="en-US"/>
        </w:rPr>
        <w:t xml:space="preserve">) </w:t>
      </w:r>
      <w:r w:rsidRPr="00CE33BC">
        <w:rPr>
          <w:rFonts w:ascii="Times New Roman" w:hAnsi="Times New Roman" w:cs="Times New Roman"/>
          <w:sz w:val="24"/>
          <w:szCs w:val="24"/>
          <w:lang w:val="en-US"/>
        </w:rPr>
        <w:t>constituting the various stages of the economic cycle representing</w:t>
      </w:r>
      <w:r>
        <w:rPr>
          <w:rFonts w:ascii="Times New Roman" w:hAnsi="Times New Roman" w:cs="Times New Roman"/>
          <w:sz w:val="24"/>
          <w:szCs w:val="24"/>
          <w:lang w:val="en-US"/>
        </w:rPr>
        <w:t xml:space="preserve"> </w:t>
      </w:r>
      <w:r w:rsidRPr="00CE33BC">
        <w:rPr>
          <w:rFonts w:ascii="Times New Roman" w:hAnsi="Times New Roman" w:cs="Times New Roman"/>
          <w:sz w:val="24"/>
          <w:szCs w:val="24"/>
          <w:lang w:val="en-US"/>
        </w:rPr>
        <w:t>growth</w:t>
      </w:r>
      <w:r>
        <w:rPr>
          <w:rFonts w:ascii="Times New Roman" w:hAnsi="Times New Roman" w:cs="Times New Roman"/>
          <w:sz w:val="24"/>
          <w:szCs w:val="24"/>
          <w:lang w:val="en-US"/>
        </w:rPr>
        <w:t>,</w:t>
      </w:r>
      <w:r w:rsidRPr="00CE33BC">
        <w:rPr>
          <w:rFonts w:ascii="Times New Roman" w:hAnsi="Times New Roman" w:cs="Times New Roman"/>
          <w:sz w:val="24"/>
          <w:szCs w:val="24"/>
          <w:lang w:val="en-US"/>
        </w:rPr>
        <w:t xml:space="preserve"> slowdown </w:t>
      </w:r>
      <w:r>
        <w:rPr>
          <w:rFonts w:ascii="Times New Roman" w:hAnsi="Times New Roman" w:cs="Times New Roman"/>
          <w:sz w:val="24"/>
          <w:szCs w:val="24"/>
          <w:lang w:val="en-US"/>
        </w:rPr>
        <w:t xml:space="preserve">and </w:t>
      </w:r>
      <w:r w:rsidRPr="00CE33BC">
        <w:rPr>
          <w:rFonts w:ascii="Times New Roman" w:hAnsi="Times New Roman" w:cs="Times New Roman"/>
          <w:sz w:val="24"/>
          <w:szCs w:val="24"/>
          <w:lang w:val="en-US"/>
        </w:rPr>
        <w:t>gradual stabilization of the economic situation</w:t>
      </w:r>
      <w:r>
        <w:rPr>
          <w:rFonts w:ascii="Times New Roman" w:hAnsi="Times New Roman" w:cs="Times New Roman"/>
          <w:sz w:val="24"/>
          <w:szCs w:val="24"/>
          <w:lang w:val="en-US"/>
        </w:rPr>
        <w:t>.</w:t>
      </w:r>
    </w:p>
    <w:p w:rsidR="003B28E0" w:rsidRDefault="003B28E0" w:rsidP="003B28E0">
      <w:pPr>
        <w:pStyle w:val="Akapitzlist"/>
        <w:spacing w:after="0" w:line="360" w:lineRule="auto"/>
        <w:ind w:left="0" w:firstLine="567"/>
        <w:jc w:val="both"/>
        <w:rPr>
          <w:rFonts w:ascii="Times New Roman" w:hAnsi="Times New Roman" w:cs="Times New Roman"/>
          <w:sz w:val="24"/>
          <w:szCs w:val="24"/>
          <w:lang w:val="en-US"/>
        </w:rPr>
      </w:pPr>
      <w:r>
        <w:rPr>
          <w:rFonts w:ascii="Times New Roman" w:hAnsi="Times New Roman" w:cs="Times New Roman"/>
          <w:sz w:val="24"/>
          <w:szCs w:val="24"/>
          <w:lang w:val="en-US"/>
        </w:rPr>
        <w:t>The panel r</w:t>
      </w:r>
      <w:r w:rsidRPr="0013582E">
        <w:rPr>
          <w:rFonts w:ascii="Times New Roman" w:hAnsi="Times New Roman" w:cs="Times New Roman"/>
          <w:sz w:val="24"/>
          <w:szCs w:val="24"/>
          <w:lang w:val="en-US"/>
        </w:rPr>
        <w:t xml:space="preserve">egression </w:t>
      </w:r>
      <w:r>
        <w:rPr>
          <w:rFonts w:ascii="Times New Roman" w:hAnsi="Times New Roman" w:cs="Times New Roman"/>
          <w:sz w:val="24"/>
          <w:szCs w:val="24"/>
          <w:lang w:val="en-US"/>
        </w:rPr>
        <w:t xml:space="preserve">identified </w:t>
      </w:r>
      <w:r w:rsidRPr="0013582E">
        <w:rPr>
          <w:rFonts w:ascii="Times New Roman" w:hAnsi="Times New Roman" w:cs="Times New Roman"/>
          <w:sz w:val="24"/>
          <w:szCs w:val="24"/>
          <w:lang w:val="en-US"/>
        </w:rPr>
        <w:t xml:space="preserve">four factors of macroeconomic </w:t>
      </w:r>
      <w:r>
        <w:rPr>
          <w:rFonts w:ascii="Times New Roman" w:hAnsi="Times New Roman" w:cs="Times New Roman"/>
          <w:sz w:val="24"/>
          <w:szCs w:val="24"/>
          <w:lang w:val="en-US"/>
        </w:rPr>
        <w:t>character which aff</w:t>
      </w:r>
      <w:r w:rsidRPr="0013582E">
        <w:rPr>
          <w:rFonts w:ascii="Times New Roman" w:hAnsi="Times New Roman" w:cs="Times New Roman"/>
          <w:sz w:val="24"/>
          <w:szCs w:val="24"/>
          <w:lang w:val="en-US"/>
        </w:rPr>
        <w:t>ect</w:t>
      </w:r>
      <w:r>
        <w:rPr>
          <w:rFonts w:ascii="Times New Roman" w:hAnsi="Times New Roman" w:cs="Times New Roman"/>
          <w:sz w:val="24"/>
          <w:szCs w:val="24"/>
          <w:lang w:val="en-US"/>
        </w:rPr>
        <w:t xml:space="preserve"> funds` </w:t>
      </w:r>
      <w:r w:rsidRPr="0013582E">
        <w:rPr>
          <w:rFonts w:ascii="Times New Roman" w:hAnsi="Times New Roman" w:cs="Times New Roman"/>
          <w:sz w:val="24"/>
          <w:szCs w:val="24"/>
          <w:lang w:val="en-US"/>
        </w:rPr>
        <w:t xml:space="preserve">efficiency (measured </w:t>
      </w:r>
      <w:r>
        <w:rPr>
          <w:rFonts w:ascii="Times New Roman" w:hAnsi="Times New Roman" w:cs="Times New Roman"/>
          <w:sz w:val="24"/>
          <w:szCs w:val="24"/>
          <w:lang w:val="en-US"/>
        </w:rPr>
        <w:t xml:space="preserve">with </w:t>
      </w:r>
      <w:proofErr w:type="spellStart"/>
      <w:r w:rsidRPr="0013582E">
        <w:rPr>
          <w:rFonts w:ascii="Times New Roman" w:hAnsi="Times New Roman" w:cs="Times New Roman"/>
          <w:sz w:val="24"/>
          <w:szCs w:val="24"/>
          <w:lang w:val="en-US"/>
        </w:rPr>
        <w:t>Sharpe`a</w:t>
      </w:r>
      <w:proofErr w:type="spellEnd"/>
      <w:r w:rsidRPr="0013582E">
        <w:rPr>
          <w:rFonts w:ascii="Times New Roman" w:hAnsi="Times New Roman" w:cs="Times New Roman"/>
          <w:sz w:val="24"/>
          <w:szCs w:val="24"/>
          <w:lang w:val="en-US"/>
        </w:rPr>
        <w:t xml:space="preserve"> and </w:t>
      </w:r>
      <w:proofErr w:type="spellStart"/>
      <w:r w:rsidRPr="0013582E">
        <w:rPr>
          <w:rFonts w:ascii="Times New Roman" w:hAnsi="Times New Roman" w:cs="Times New Roman"/>
          <w:sz w:val="24"/>
          <w:szCs w:val="24"/>
          <w:lang w:val="en-US"/>
        </w:rPr>
        <w:t>Sortino</w:t>
      </w:r>
      <w:proofErr w:type="spellEnd"/>
      <w:r>
        <w:rPr>
          <w:rFonts w:ascii="Times New Roman" w:hAnsi="Times New Roman" w:cs="Times New Roman"/>
          <w:sz w:val="24"/>
          <w:szCs w:val="24"/>
          <w:lang w:val="en-US"/>
        </w:rPr>
        <w:t xml:space="preserve"> indicators</w:t>
      </w:r>
      <w:r w:rsidRPr="0013582E">
        <w:rPr>
          <w:rFonts w:ascii="Times New Roman" w:hAnsi="Times New Roman" w:cs="Times New Roman"/>
          <w:sz w:val="24"/>
          <w:szCs w:val="24"/>
          <w:lang w:val="en-US"/>
        </w:rPr>
        <w:t>). The increase in entrepreneurs</w:t>
      </w:r>
      <w:r>
        <w:rPr>
          <w:rFonts w:ascii="Times New Roman" w:hAnsi="Times New Roman" w:cs="Times New Roman"/>
          <w:sz w:val="24"/>
          <w:szCs w:val="24"/>
          <w:lang w:val="en-US"/>
        </w:rPr>
        <w:t>`</w:t>
      </w:r>
      <w:r w:rsidRPr="0013582E">
        <w:rPr>
          <w:rFonts w:ascii="Times New Roman" w:hAnsi="Times New Roman" w:cs="Times New Roman"/>
          <w:sz w:val="24"/>
          <w:szCs w:val="24"/>
          <w:lang w:val="en-US"/>
        </w:rPr>
        <w:t xml:space="preserve"> optimism, prices on the W</w:t>
      </w:r>
      <w:r>
        <w:rPr>
          <w:rFonts w:ascii="Times New Roman" w:hAnsi="Times New Roman" w:cs="Times New Roman"/>
          <w:sz w:val="24"/>
          <w:szCs w:val="24"/>
          <w:lang w:val="en-US"/>
        </w:rPr>
        <w:t>SE</w:t>
      </w:r>
      <w:r w:rsidRPr="0013582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index </w:t>
      </w:r>
      <w:r w:rsidRPr="0013582E">
        <w:rPr>
          <w:rFonts w:ascii="Times New Roman" w:hAnsi="Times New Roman" w:cs="Times New Roman"/>
          <w:sz w:val="24"/>
          <w:szCs w:val="24"/>
          <w:lang w:val="en-US"/>
        </w:rPr>
        <w:t xml:space="preserve">WIG) and </w:t>
      </w:r>
      <w:r>
        <w:rPr>
          <w:rFonts w:ascii="Times New Roman" w:hAnsi="Times New Roman" w:cs="Times New Roman"/>
          <w:sz w:val="24"/>
          <w:szCs w:val="24"/>
          <w:lang w:val="en-US"/>
        </w:rPr>
        <w:t xml:space="preserve">GDP are </w:t>
      </w:r>
      <w:r w:rsidRPr="0013582E">
        <w:rPr>
          <w:rFonts w:ascii="Times New Roman" w:hAnsi="Times New Roman" w:cs="Times New Roman"/>
          <w:sz w:val="24"/>
          <w:szCs w:val="24"/>
          <w:lang w:val="en-US"/>
        </w:rPr>
        <w:t xml:space="preserve">conducive to improving the </w:t>
      </w:r>
      <w:r>
        <w:rPr>
          <w:rFonts w:ascii="Times New Roman" w:hAnsi="Times New Roman" w:cs="Times New Roman"/>
          <w:sz w:val="24"/>
          <w:szCs w:val="24"/>
          <w:lang w:val="en-US"/>
        </w:rPr>
        <w:t xml:space="preserve">funds` </w:t>
      </w:r>
      <w:r w:rsidRPr="0013582E">
        <w:rPr>
          <w:rFonts w:ascii="Times New Roman" w:hAnsi="Times New Roman" w:cs="Times New Roman"/>
          <w:sz w:val="24"/>
          <w:szCs w:val="24"/>
          <w:lang w:val="en-US"/>
        </w:rPr>
        <w:t>efficiency</w:t>
      </w:r>
      <w:r>
        <w:rPr>
          <w:rFonts w:ascii="Times New Roman" w:hAnsi="Times New Roman" w:cs="Times New Roman"/>
          <w:sz w:val="24"/>
          <w:szCs w:val="24"/>
          <w:lang w:val="en-US"/>
        </w:rPr>
        <w:t xml:space="preserve">, but </w:t>
      </w:r>
      <w:r w:rsidRPr="0013582E">
        <w:rPr>
          <w:rFonts w:ascii="Times New Roman" w:hAnsi="Times New Roman" w:cs="Times New Roman"/>
          <w:sz w:val="24"/>
          <w:szCs w:val="24"/>
          <w:lang w:val="en-US"/>
        </w:rPr>
        <w:t>the growth rate of wage</w:t>
      </w:r>
      <w:r>
        <w:rPr>
          <w:rFonts w:ascii="Times New Roman" w:hAnsi="Times New Roman" w:cs="Times New Roman"/>
          <w:sz w:val="24"/>
          <w:szCs w:val="24"/>
          <w:lang w:val="en-US"/>
        </w:rPr>
        <w:t>s</w:t>
      </w:r>
      <w:r w:rsidRPr="0013582E">
        <w:rPr>
          <w:rFonts w:ascii="Times New Roman" w:hAnsi="Times New Roman" w:cs="Times New Roman"/>
          <w:sz w:val="24"/>
          <w:szCs w:val="24"/>
          <w:lang w:val="en-US"/>
        </w:rPr>
        <w:t xml:space="preserve"> in the national economy</w:t>
      </w:r>
      <w:r>
        <w:rPr>
          <w:rFonts w:ascii="Times New Roman" w:hAnsi="Times New Roman" w:cs="Times New Roman"/>
          <w:sz w:val="24"/>
          <w:szCs w:val="24"/>
          <w:lang w:val="en-US"/>
        </w:rPr>
        <w:t xml:space="preserve"> is unfavorable</w:t>
      </w:r>
      <w:r w:rsidRPr="0013582E">
        <w:rPr>
          <w:rFonts w:ascii="Times New Roman" w:hAnsi="Times New Roman" w:cs="Times New Roman"/>
          <w:sz w:val="24"/>
          <w:szCs w:val="24"/>
          <w:lang w:val="en-US"/>
        </w:rPr>
        <w:t xml:space="preserve">. In different ways the efficiency </w:t>
      </w:r>
      <w:r>
        <w:rPr>
          <w:rFonts w:ascii="Times New Roman" w:hAnsi="Times New Roman" w:cs="Times New Roman"/>
          <w:sz w:val="24"/>
          <w:szCs w:val="24"/>
          <w:lang w:val="en-US"/>
        </w:rPr>
        <w:t xml:space="preserve">is impacted by </w:t>
      </w:r>
      <w:r w:rsidRPr="0013582E">
        <w:rPr>
          <w:rFonts w:ascii="Times New Roman" w:hAnsi="Times New Roman" w:cs="Times New Roman"/>
          <w:sz w:val="24"/>
          <w:szCs w:val="24"/>
          <w:lang w:val="en-US"/>
        </w:rPr>
        <w:t xml:space="preserve">three </w:t>
      </w:r>
      <w:r>
        <w:rPr>
          <w:rFonts w:ascii="Times New Roman" w:hAnsi="Times New Roman" w:cs="Times New Roman"/>
          <w:sz w:val="24"/>
          <w:szCs w:val="24"/>
          <w:lang w:val="en-US"/>
        </w:rPr>
        <w:t xml:space="preserve">individual </w:t>
      </w:r>
      <w:r w:rsidRPr="0013582E">
        <w:rPr>
          <w:rFonts w:ascii="Times New Roman" w:hAnsi="Times New Roman" w:cs="Times New Roman"/>
          <w:sz w:val="24"/>
          <w:szCs w:val="24"/>
          <w:lang w:val="en-US"/>
        </w:rPr>
        <w:t>factors</w:t>
      </w:r>
      <w:r>
        <w:rPr>
          <w:rFonts w:ascii="Times New Roman" w:hAnsi="Times New Roman" w:cs="Times New Roman"/>
          <w:sz w:val="24"/>
          <w:szCs w:val="24"/>
          <w:lang w:val="en-US"/>
        </w:rPr>
        <w:t xml:space="preserve"> of </w:t>
      </w:r>
      <w:r w:rsidRPr="0013582E">
        <w:rPr>
          <w:rFonts w:ascii="Times New Roman" w:hAnsi="Times New Roman" w:cs="Times New Roman"/>
          <w:sz w:val="24"/>
          <w:szCs w:val="24"/>
          <w:lang w:val="en-US"/>
        </w:rPr>
        <w:t>funds. Extending t</w:t>
      </w:r>
      <w:r>
        <w:rPr>
          <w:rFonts w:ascii="Times New Roman" w:hAnsi="Times New Roman" w:cs="Times New Roman"/>
          <w:sz w:val="24"/>
          <w:szCs w:val="24"/>
          <w:lang w:val="en-US"/>
        </w:rPr>
        <w:t xml:space="preserve">ime of funds` operation </w:t>
      </w:r>
      <w:r w:rsidRPr="0013582E">
        <w:rPr>
          <w:rFonts w:ascii="Times New Roman" w:hAnsi="Times New Roman" w:cs="Times New Roman"/>
          <w:sz w:val="24"/>
          <w:szCs w:val="24"/>
          <w:lang w:val="en-US"/>
        </w:rPr>
        <w:t xml:space="preserve">and increase </w:t>
      </w:r>
      <w:r>
        <w:rPr>
          <w:rFonts w:ascii="Times New Roman" w:hAnsi="Times New Roman" w:cs="Times New Roman"/>
          <w:sz w:val="24"/>
          <w:szCs w:val="24"/>
          <w:lang w:val="en-US"/>
        </w:rPr>
        <w:t xml:space="preserve">of </w:t>
      </w:r>
      <w:r w:rsidRPr="0013582E">
        <w:rPr>
          <w:rFonts w:ascii="Times New Roman" w:hAnsi="Times New Roman" w:cs="Times New Roman"/>
          <w:sz w:val="24"/>
          <w:szCs w:val="24"/>
          <w:lang w:val="en-US"/>
        </w:rPr>
        <w:t>their assets were not conducive to improving their eff</w:t>
      </w:r>
      <w:r>
        <w:rPr>
          <w:rFonts w:ascii="Times New Roman" w:hAnsi="Times New Roman" w:cs="Times New Roman"/>
          <w:sz w:val="24"/>
          <w:szCs w:val="24"/>
          <w:lang w:val="en-US"/>
        </w:rPr>
        <w:t>iciency</w:t>
      </w:r>
      <w:r w:rsidRPr="0013582E">
        <w:rPr>
          <w:rFonts w:ascii="Times New Roman" w:hAnsi="Times New Roman" w:cs="Times New Roman"/>
          <w:sz w:val="24"/>
          <w:szCs w:val="24"/>
          <w:lang w:val="en-US"/>
        </w:rPr>
        <w:t>. Positively</w:t>
      </w:r>
      <w:r>
        <w:rPr>
          <w:rFonts w:ascii="Times New Roman" w:hAnsi="Times New Roman" w:cs="Times New Roman"/>
          <w:sz w:val="24"/>
          <w:szCs w:val="24"/>
          <w:lang w:val="en-US"/>
        </w:rPr>
        <w:t>,</w:t>
      </w:r>
      <w:r w:rsidRPr="0013582E">
        <w:rPr>
          <w:rFonts w:ascii="Times New Roman" w:hAnsi="Times New Roman" w:cs="Times New Roman"/>
          <w:sz w:val="24"/>
          <w:szCs w:val="24"/>
          <w:lang w:val="en-US"/>
        </w:rPr>
        <w:t xml:space="preserve"> in turn, efficiency</w:t>
      </w:r>
      <w:r>
        <w:rPr>
          <w:rFonts w:ascii="Times New Roman" w:hAnsi="Times New Roman" w:cs="Times New Roman"/>
          <w:sz w:val="24"/>
          <w:szCs w:val="24"/>
          <w:lang w:val="en-US"/>
        </w:rPr>
        <w:t xml:space="preserve"> is affected by </w:t>
      </w:r>
      <w:r w:rsidRPr="0013582E">
        <w:rPr>
          <w:rFonts w:ascii="Times New Roman" w:hAnsi="Times New Roman" w:cs="Times New Roman"/>
          <w:sz w:val="24"/>
          <w:szCs w:val="24"/>
          <w:lang w:val="en-US"/>
        </w:rPr>
        <w:t>the value of a unit.</w:t>
      </w:r>
    </w:p>
    <w:p w:rsidR="003B28E0" w:rsidRDefault="003B28E0" w:rsidP="003B28E0">
      <w:pPr>
        <w:pStyle w:val="Akapitzlist"/>
        <w:spacing w:after="0" w:line="360" w:lineRule="auto"/>
        <w:ind w:left="0" w:firstLine="567"/>
        <w:jc w:val="both"/>
        <w:rPr>
          <w:rFonts w:ascii="Times New Roman" w:hAnsi="Times New Roman" w:cs="Times New Roman"/>
          <w:sz w:val="24"/>
          <w:szCs w:val="24"/>
          <w:lang w:val="en-US"/>
        </w:rPr>
      </w:pPr>
      <w:r w:rsidRPr="001C4AA4">
        <w:rPr>
          <w:rFonts w:ascii="Times New Roman" w:hAnsi="Times New Roman" w:cs="Times New Roman"/>
          <w:sz w:val="24"/>
          <w:szCs w:val="24"/>
          <w:lang w:val="en-US"/>
        </w:rPr>
        <w:t xml:space="preserve">Overall, </w:t>
      </w:r>
      <w:r>
        <w:rPr>
          <w:rFonts w:ascii="Times New Roman" w:hAnsi="Times New Roman" w:cs="Times New Roman"/>
          <w:sz w:val="24"/>
          <w:szCs w:val="24"/>
          <w:lang w:val="en-US"/>
        </w:rPr>
        <w:t xml:space="preserve">the </w:t>
      </w:r>
      <w:r w:rsidRPr="001C4AA4">
        <w:rPr>
          <w:rFonts w:ascii="Times New Roman" w:hAnsi="Times New Roman" w:cs="Times New Roman"/>
          <w:sz w:val="24"/>
          <w:szCs w:val="24"/>
          <w:lang w:val="en-US"/>
        </w:rPr>
        <w:t>stud</w:t>
      </w:r>
      <w:r>
        <w:rPr>
          <w:rFonts w:ascii="Times New Roman" w:hAnsi="Times New Roman" w:cs="Times New Roman"/>
          <w:sz w:val="24"/>
          <w:szCs w:val="24"/>
          <w:lang w:val="en-US"/>
        </w:rPr>
        <w:t xml:space="preserve">y </w:t>
      </w:r>
      <w:r w:rsidRPr="001C4AA4">
        <w:rPr>
          <w:rFonts w:ascii="Times New Roman" w:hAnsi="Times New Roman" w:cs="Times New Roman"/>
          <w:sz w:val="24"/>
          <w:szCs w:val="24"/>
          <w:lang w:val="en-US"/>
        </w:rPr>
        <w:t>ha</w:t>
      </w:r>
      <w:r>
        <w:rPr>
          <w:rFonts w:ascii="Times New Roman" w:hAnsi="Times New Roman" w:cs="Times New Roman"/>
          <w:sz w:val="24"/>
          <w:szCs w:val="24"/>
          <w:lang w:val="en-US"/>
        </w:rPr>
        <w:t>s</w:t>
      </w:r>
      <w:r w:rsidRPr="001C4AA4">
        <w:rPr>
          <w:rFonts w:ascii="Times New Roman" w:hAnsi="Times New Roman" w:cs="Times New Roman"/>
          <w:sz w:val="24"/>
          <w:szCs w:val="24"/>
          <w:lang w:val="en-US"/>
        </w:rPr>
        <w:t xml:space="preserve"> shown that</w:t>
      </w:r>
      <w:r>
        <w:rPr>
          <w:rFonts w:ascii="Times New Roman" w:hAnsi="Times New Roman" w:cs="Times New Roman"/>
          <w:sz w:val="24"/>
          <w:szCs w:val="24"/>
          <w:lang w:val="en-US"/>
        </w:rPr>
        <w:t xml:space="preserve">, using </w:t>
      </w:r>
      <w:r w:rsidRPr="001C4AA4">
        <w:rPr>
          <w:rFonts w:ascii="Times New Roman" w:hAnsi="Times New Roman" w:cs="Times New Roman"/>
          <w:sz w:val="24"/>
          <w:szCs w:val="24"/>
          <w:lang w:val="en-US"/>
        </w:rPr>
        <w:t xml:space="preserve">all four </w:t>
      </w:r>
      <w:r>
        <w:rPr>
          <w:rFonts w:ascii="Times New Roman" w:hAnsi="Times New Roman" w:cs="Times New Roman"/>
          <w:sz w:val="24"/>
          <w:szCs w:val="24"/>
          <w:lang w:val="en-US"/>
        </w:rPr>
        <w:t xml:space="preserve">measurement </w:t>
      </w:r>
      <w:r w:rsidRPr="001C4AA4">
        <w:rPr>
          <w:rFonts w:ascii="Times New Roman" w:hAnsi="Times New Roman" w:cs="Times New Roman"/>
          <w:sz w:val="24"/>
          <w:szCs w:val="24"/>
          <w:lang w:val="en-US"/>
        </w:rPr>
        <w:t>methods</w:t>
      </w:r>
      <w:r>
        <w:rPr>
          <w:rFonts w:ascii="Times New Roman" w:hAnsi="Times New Roman" w:cs="Times New Roman"/>
          <w:sz w:val="24"/>
          <w:szCs w:val="24"/>
          <w:lang w:val="en-US"/>
        </w:rPr>
        <w:t xml:space="preserve">, </w:t>
      </w:r>
      <w:r w:rsidRPr="001C4AA4">
        <w:rPr>
          <w:rFonts w:ascii="Times New Roman" w:hAnsi="Times New Roman" w:cs="Times New Roman"/>
          <w:sz w:val="24"/>
          <w:szCs w:val="24"/>
          <w:lang w:val="en-US"/>
        </w:rPr>
        <w:t xml:space="preserve">efficiency </w:t>
      </w:r>
      <w:r>
        <w:rPr>
          <w:rFonts w:ascii="Times New Roman" w:hAnsi="Times New Roman" w:cs="Times New Roman"/>
          <w:sz w:val="24"/>
          <w:szCs w:val="24"/>
          <w:lang w:val="en-US"/>
        </w:rPr>
        <w:t xml:space="preserve">of </w:t>
      </w:r>
      <w:r w:rsidRPr="001C4AA4">
        <w:rPr>
          <w:rFonts w:ascii="Times New Roman" w:hAnsi="Times New Roman" w:cs="Times New Roman"/>
          <w:sz w:val="24"/>
          <w:szCs w:val="24"/>
          <w:lang w:val="en-US"/>
        </w:rPr>
        <w:t xml:space="preserve">equity funds varies according to changes in the </w:t>
      </w:r>
      <w:r>
        <w:rPr>
          <w:rFonts w:ascii="Times New Roman" w:hAnsi="Times New Roman" w:cs="Times New Roman"/>
          <w:sz w:val="24"/>
          <w:szCs w:val="24"/>
          <w:lang w:val="en-US"/>
        </w:rPr>
        <w:t xml:space="preserve">country </w:t>
      </w:r>
      <w:r w:rsidRPr="001C4AA4">
        <w:rPr>
          <w:rFonts w:ascii="Times New Roman" w:hAnsi="Times New Roman" w:cs="Times New Roman"/>
          <w:sz w:val="24"/>
          <w:szCs w:val="24"/>
          <w:lang w:val="en-US"/>
        </w:rPr>
        <w:t>economic situation. Its level significantly increased or decreased with the improvement or deterioration o</w:t>
      </w:r>
      <w:r>
        <w:rPr>
          <w:rFonts w:ascii="Times New Roman" w:hAnsi="Times New Roman" w:cs="Times New Roman"/>
          <w:sz w:val="24"/>
          <w:szCs w:val="24"/>
          <w:lang w:val="en-US"/>
        </w:rPr>
        <w:t>f the macroeconomic situation. F</w:t>
      </w:r>
      <w:r w:rsidRPr="001C4AA4">
        <w:rPr>
          <w:rFonts w:ascii="Times New Roman" w:hAnsi="Times New Roman" w:cs="Times New Roman"/>
          <w:sz w:val="24"/>
          <w:szCs w:val="24"/>
          <w:lang w:val="en-US"/>
        </w:rPr>
        <w:t xml:space="preserve">unds reached the highest rate of return, and their </w:t>
      </w:r>
      <w:r>
        <w:rPr>
          <w:rFonts w:ascii="Times New Roman" w:hAnsi="Times New Roman" w:cs="Times New Roman"/>
          <w:sz w:val="24"/>
          <w:szCs w:val="24"/>
          <w:lang w:val="en-US"/>
        </w:rPr>
        <w:t xml:space="preserve">portfolios </w:t>
      </w:r>
      <w:r w:rsidRPr="001C4AA4">
        <w:rPr>
          <w:rFonts w:ascii="Times New Roman" w:hAnsi="Times New Roman" w:cs="Times New Roman"/>
          <w:sz w:val="24"/>
          <w:szCs w:val="24"/>
          <w:lang w:val="en-US"/>
        </w:rPr>
        <w:t xml:space="preserve">generate low risk in pre-crisis </w:t>
      </w:r>
      <w:r>
        <w:rPr>
          <w:rFonts w:ascii="Times New Roman" w:hAnsi="Times New Roman" w:cs="Times New Roman"/>
          <w:sz w:val="24"/>
          <w:szCs w:val="24"/>
          <w:lang w:val="en-US"/>
        </w:rPr>
        <w:t xml:space="preserve">boom </w:t>
      </w:r>
      <w:r w:rsidRPr="001C4AA4">
        <w:rPr>
          <w:rFonts w:ascii="Times New Roman" w:hAnsi="Times New Roman" w:cs="Times New Roman"/>
          <w:sz w:val="24"/>
          <w:szCs w:val="24"/>
          <w:lang w:val="en-US"/>
        </w:rPr>
        <w:t xml:space="preserve">period, and the lowest rate of return and the highest risk in the period </w:t>
      </w:r>
      <w:r>
        <w:rPr>
          <w:rFonts w:ascii="Times New Roman" w:hAnsi="Times New Roman" w:cs="Times New Roman"/>
          <w:sz w:val="24"/>
          <w:szCs w:val="24"/>
          <w:lang w:val="en-US"/>
        </w:rPr>
        <w:t xml:space="preserve">influenced by the </w:t>
      </w:r>
      <w:r w:rsidRPr="001C4AA4">
        <w:rPr>
          <w:rFonts w:ascii="Times New Roman" w:hAnsi="Times New Roman" w:cs="Times New Roman"/>
          <w:sz w:val="24"/>
          <w:szCs w:val="24"/>
          <w:lang w:val="en-US"/>
        </w:rPr>
        <w:t>global financial crisis and the sovereign debt crisis in Western Europe.</w:t>
      </w:r>
    </w:p>
    <w:p w:rsidR="003B28E0" w:rsidRPr="003B28E0" w:rsidRDefault="003B28E0" w:rsidP="003B28E0">
      <w:pPr>
        <w:pStyle w:val="Akapitzlist"/>
        <w:spacing w:after="0" w:line="360" w:lineRule="auto"/>
        <w:ind w:left="0"/>
        <w:rPr>
          <w:rFonts w:ascii="Times New Roman" w:hAnsi="Times New Roman" w:cs="Times New Roman"/>
          <w:sz w:val="24"/>
          <w:szCs w:val="24"/>
        </w:rPr>
      </w:pPr>
      <w:r>
        <w:rPr>
          <w:rFonts w:ascii="Times New Roman" w:hAnsi="Times New Roman" w:cs="Times New Roman"/>
          <w:sz w:val="24"/>
          <w:szCs w:val="24"/>
        </w:rPr>
        <w:t>Warszawa, 06.04.2017</w:t>
      </w:r>
      <w:r w:rsidRPr="003B28E0">
        <w:br w:type="page"/>
      </w:r>
      <w:r w:rsidRPr="003B28E0">
        <w:lastRenderedPageBreak/>
        <w:tab/>
      </w:r>
      <w:r>
        <w:tab/>
      </w:r>
      <w:r>
        <w:tab/>
      </w:r>
      <w:r>
        <w:tab/>
      </w:r>
      <w:r w:rsidRPr="003B28E0">
        <w:rPr>
          <w:rFonts w:ascii="Times New Roman" w:hAnsi="Times New Roman" w:cs="Times New Roman"/>
          <w:b/>
          <w:sz w:val="24"/>
          <w:szCs w:val="24"/>
        </w:rPr>
        <w:t>Streszczenie rozprawy doktorskiej</w:t>
      </w:r>
    </w:p>
    <w:p w:rsidR="003B28E0" w:rsidRPr="003B28E0" w:rsidRDefault="003B28E0" w:rsidP="003B28E0">
      <w:pPr>
        <w:spacing w:after="0" w:line="240" w:lineRule="auto"/>
        <w:jc w:val="center"/>
        <w:rPr>
          <w:rFonts w:ascii="Times New Roman" w:hAnsi="Times New Roman" w:cs="Times New Roman"/>
          <w:sz w:val="24"/>
          <w:szCs w:val="24"/>
        </w:rPr>
      </w:pPr>
      <w:r w:rsidRPr="003B28E0">
        <w:rPr>
          <w:rFonts w:ascii="Times New Roman" w:hAnsi="Times New Roman" w:cs="Times New Roman"/>
          <w:b/>
          <w:sz w:val="24"/>
          <w:szCs w:val="24"/>
        </w:rPr>
        <w:t>Uwarunkowania i pomiar efektywności funduszy inwestycyjnych w Polsce</w:t>
      </w:r>
    </w:p>
    <w:p w:rsidR="003B28E0" w:rsidRPr="003B28E0" w:rsidRDefault="003B28E0" w:rsidP="003B28E0">
      <w:pPr>
        <w:spacing w:after="0" w:line="240" w:lineRule="auto"/>
        <w:jc w:val="center"/>
        <w:rPr>
          <w:rFonts w:ascii="Times New Roman" w:hAnsi="Times New Roman" w:cs="Times New Roman"/>
          <w:sz w:val="24"/>
          <w:szCs w:val="24"/>
        </w:rPr>
      </w:pPr>
      <w:r w:rsidRPr="003B28E0">
        <w:rPr>
          <w:rFonts w:ascii="Times New Roman" w:hAnsi="Times New Roman" w:cs="Times New Roman"/>
          <w:sz w:val="24"/>
          <w:szCs w:val="24"/>
        </w:rPr>
        <w:t>mgr Emil Ochnio</w:t>
      </w:r>
    </w:p>
    <w:p w:rsidR="003B28E0" w:rsidRPr="00FD271C" w:rsidRDefault="003B28E0" w:rsidP="003B28E0">
      <w:pPr>
        <w:pStyle w:val="Akapitzlist"/>
        <w:spacing w:after="0" w:line="336" w:lineRule="auto"/>
        <w:ind w:left="0" w:firstLine="567"/>
        <w:jc w:val="both"/>
        <w:rPr>
          <w:rFonts w:ascii="Times New Roman" w:hAnsi="Times New Roman" w:cs="Times New Roman"/>
          <w:sz w:val="24"/>
          <w:szCs w:val="24"/>
        </w:rPr>
      </w:pPr>
      <w:r>
        <w:rPr>
          <w:rFonts w:ascii="Times New Roman" w:hAnsi="Times New Roman" w:cs="Times New Roman"/>
          <w:sz w:val="24"/>
          <w:szCs w:val="24"/>
        </w:rPr>
        <w:t>Badania przedstawione</w:t>
      </w:r>
      <w:r w:rsidRPr="00FD271C">
        <w:rPr>
          <w:rFonts w:ascii="Times New Roman" w:hAnsi="Times New Roman" w:cs="Times New Roman"/>
          <w:sz w:val="24"/>
          <w:szCs w:val="24"/>
        </w:rPr>
        <w:t xml:space="preserve"> w pracy są odpowiedzią na potrzebę wnikliwej analizy efektywności funduszy </w:t>
      </w:r>
      <w:r>
        <w:rPr>
          <w:rFonts w:ascii="Times New Roman" w:hAnsi="Times New Roman" w:cs="Times New Roman"/>
          <w:sz w:val="24"/>
          <w:szCs w:val="24"/>
        </w:rPr>
        <w:t xml:space="preserve">inwestycyjnych </w:t>
      </w:r>
      <w:r w:rsidRPr="00FD271C">
        <w:rPr>
          <w:rFonts w:ascii="Times New Roman" w:hAnsi="Times New Roman" w:cs="Times New Roman"/>
          <w:sz w:val="24"/>
          <w:szCs w:val="24"/>
        </w:rPr>
        <w:t xml:space="preserve">działających w różnych uwarunkowaniach makroekonomicznych i strukturalnych. </w:t>
      </w:r>
      <w:r>
        <w:rPr>
          <w:rFonts w:ascii="Times New Roman" w:hAnsi="Times New Roman" w:cs="Times New Roman"/>
          <w:sz w:val="24"/>
          <w:szCs w:val="24"/>
        </w:rPr>
        <w:t>P</w:t>
      </w:r>
      <w:r w:rsidRPr="00FD271C">
        <w:rPr>
          <w:rFonts w:ascii="Times New Roman" w:hAnsi="Times New Roman" w:cs="Times New Roman"/>
          <w:sz w:val="24"/>
          <w:szCs w:val="24"/>
        </w:rPr>
        <w:t>roblematyka identyfikacji czynników wpływa</w:t>
      </w:r>
      <w:r>
        <w:rPr>
          <w:rFonts w:ascii="Times New Roman" w:hAnsi="Times New Roman" w:cs="Times New Roman"/>
          <w:sz w:val="24"/>
          <w:szCs w:val="24"/>
        </w:rPr>
        <w:t xml:space="preserve">jących na efektywność funduszy </w:t>
      </w:r>
      <w:r w:rsidRPr="00FD271C">
        <w:rPr>
          <w:rFonts w:ascii="Times New Roman" w:hAnsi="Times New Roman" w:cs="Times New Roman"/>
          <w:sz w:val="24"/>
          <w:szCs w:val="24"/>
        </w:rPr>
        <w:t xml:space="preserve">nie jest częstym przedmiotem analiz ekonomicznych. Wiele istniejących opracowań koncentruje się bardziej na oszacowaniu efektywności </w:t>
      </w:r>
      <w:r>
        <w:rPr>
          <w:rFonts w:ascii="Times New Roman" w:hAnsi="Times New Roman" w:cs="Times New Roman"/>
          <w:sz w:val="24"/>
          <w:szCs w:val="24"/>
        </w:rPr>
        <w:t xml:space="preserve">lub </w:t>
      </w:r>
      <w:r w:rsidRPr="00FD271C">
        <w:rPr>
          <w:rFonts w:ascii="Times New Roman" w:hAnsi="Times New Roman" w:cs="Times New Roman"/>
          <w:sz w:val="24"/>
          <w:szCs w:val="24"/>
        </w:rPr>
        <w:t xml:space="preserve">porównaniu efektywności </w:t>
      </w:r>
      <w:r>
        <w:rPr>
          <w:rFonts w:ascii="Times New Roman" w:hAnsi="Times New Roman" w:cs="Times New Roman"/>
          <w:sz w:val="24"/>
          <w:szCs w:val="24"/>
        </w:rPr>
        <w:t xml:space="preserve">funduszy </w:t>
      </w:r>
      <w:r w:rsidRPr="00FD271C">
        <w:rPr>
          <w:rFonts w:ascii="Times New Roman" w:hAnsi="Times New Roman" w:cs="Times New Roman"/>
          <w:sz w:val="24"/>
          <w:szCs w:val="24"/>
        </w:rPr>
        <w:t>w zależności od ro</w:t>
      </w:r>
      <w:r>
        <w:rPr>
          <w:rFonts w:ascii="Times New Roman" w:hAnsi="Times New Roman" w:cs="Times New Roman"/>
          <w:sz w:val="24"/>
          <w:szCs w:val="24"/>
        </w:rPr>
        <w:t>dzaju portfela inwestycyjnego. W literaturze przedmiotu</w:t>
      </w:r>
      <w:r w:rsidRPr="00FD271C">
        <w:rPr>
          <w:rFonts w:ascii="Times New Roman" w:hAnsi="Times New Roman" w:cs="Times New Roman"/>
          <w:sz w:val="24"/>
          <w:szCs w:val="24"/>
        </w:rPr>
        <w:t xml:space="preserve"> nie </w:t>
      </w:r>
      <w:r>
        <w:rPr>
          <w:rFonts w:ascii="Times New Roman" w:hAnsi="Times New Roman" w:cs="Times New Roman"/>
          <w:sz w:val="24"/>
          <w:szCs w:val="24"/>
        </w:rPr>
        <w:t>ma</w:t>
      </w:r>
      <w:r w:rsidRPr="00FD271C">
        <w:rPr>
          <w:rFonts w:ascii="Times New Roman" w:hAnsi="Times New Roman" w:cs="Times New Roman"/>
          <w:sz w:val="24"/>
          <w:szCs w:val="24"/>
        </w:rPr>
        <w:t xml:space="preserve"> zbyt wiele opracowań starających się znaleźć powiązania między efektywnością funduszy a czynnikami mikro- i makroekonomicznymi. Wybór tematu pracy związany jest również z próbą przybliżenia możliwości stosowania różnych metod oceny działalności funduszy inwestycyjnych na przykładzie otwartych akcyjnych funduszy inwestycyjnych. </w:t>
      </w:r>
    </w:p>
    <w:p w:rsidR="003B28E0" w:rsidRDefault="003B28E0" w:rsidP="003B28E0">
      <w:pPr>
        <w:pStyle w:val="Akapitzlist"/>
        <w:spacing w:after="0" w:line="336" w:lineRule="auto"/>
        <w:ind w:left="0" w:firstLine="567"/>
        <w:jc w:val="both"/>
        <w:rPr>
          <w:rFonts w:ascii="Times New Roman" w:hAnsi="Times New Roman" w:cs="Times New Roman"/>
          <w:sz w:val="24"/>
          <w:szCs w:val="24"/>
        </w:rPr>
      </w:pPr>
      <w:r w:rsidRPr="00FD271C">
        <w:rPr>
          <w:rFonts w:ascii="Times New Roman" w:hAnsi="Times New Roman" w:cs="Times New Roman"/>
          <w:sz w:val="24"/>
          <w:szCs w:val="24"/>
        </w:rPr>
        <w:t xml:space="preserve">W </w:t>
      </w:r>
      <w:r>
        <w:rPr>
          <w:rFonts w:ascii="Times New Roman" w:hAnsi="Times New Roman" w:cs="Times New Roman"/>
          <w:sz w:val="24"/>
          <w:szCs w:val="24"/>
        </w:rPr>
        <w:t xml:space="preserve">badaniach </w:t>
      </w:r>
      <w:r w:rsidRPr="00FD271C">
        <w:rPr>
          <w:rFonts w:ascii="Times New Roman" w:hAnsi="Times New Roman" w:cs="Times New Roman"/>
          <w:sz w:val="24"/>
          <w:szCs w:val="24"/>
        </w:rPr>
        <w:t>wyznacz</w:t>
      </w:r>
      <w:r>
        <w:rPr>
          <w:rFonts w:ascii="Times New Roman" w:hAnsi="Times New Roman" w:cs="Times New Roman"/>
          <w:sz w:val="24"/>
          <w:szCs w:val="24"/>
        </w:rPr>
        <w:t xml:space="preserve">ono </w:t>
      </w:r>
      <w:r w:rsidRPr="00FD271C">
        <w:rPr>
          <w:rFonts w:ascii="Times New Roman" w:hAnsi="Times New Roman" w:cs="Times New Roman"/>
          <w:sz w:val="24"/>
          <w:szCs w:val="24"/>
        </w:rPr>
        <w:t>efektywnoś</w:t>
      </w:r>
      <w:r>
        <w:rPr>
          <w:rFonts w:ascii="Times New Roman" w:hAnsi="Times New Roman" w:cs="Times New Roman"/>
          <w:sz w:val="24"/>
          <w:szCs w:val="24"/>
        </w:rPr>
        <w:t>ć</w:t>
      </w:r>
      <w:r w:rsidRPr="00FD271C">
        <w:rPr>
          <w:rFonts w:ascii="Times New Roman" w:hAnsi="Times New Roman" w:cs="Times New Roman"/>
          <w:sz w:val="24"/>
          <w:szCs w:val="24"/>
        </w:rPr>
        <w:t xml:space="preserve"> 29 funduszy akcyjnych, które w nieprzerwany sposób prowadziły działalność w latach 2005-2015. Do tego celu posłużono się miarami klasycznymi – wskaźnikami </w:t>
      </w:r>
      <w:proofErr w:type="spellStart"/>
      <w:r w:rsidRPr="00FD271C">
        <w:rPr>
          <w:rFonts w:ascii="Times New Roman" w:hAnsi="Times New Roman" w:cs="Times New Roman"/>
          <w:sz w:val="24"/>
          <w:szCs w:val="24"/>
        </w:rPr>
        <w:t>Sharpe’a</w:t>
      </w:r>
      <w:proofErr w:type="spellEnd"/>
      <w:r w:rsidRPr="00FD271C">
        <w:rPr>
          <w:rFonts w:ascii="Times New Roman" w:hAnsi="Times New Roman" w:cs="Times New Roman"/>
          <w:sz w:val="24"/>
          <w:szCs w:val="24"/>
        </w:rPr>
        <w:t xml:space="preserve"> i </w:t>
      </w:r>
      <w:proofErr w:type="spellStart"/>
      <w:r w:rsidRPr="00FD271C">
        <w:rPr>
          <w:rFonts w:ascii="Times New Roman" w:hAnsi="Times New Roman" w:cs="Times New Roman"/>
          <w:sz w:val="24"/>
          <w:szCs w:val="24"/>
        </w:rPr>
        <w:t>Treynora</w:t>
      </w:r>
      <w:proofErr w:type="spellEnd"/>
      <w:r w:rsidRPr="00FD271C">
        <w:rPr>
          <w:rFonts w:ascii="Times New Roman" w:hAnsi="Times New Roman" w:cs="Times New Roman"/>
          <w:sz w:val="24"/>
          <w:szCs w:val="24"/>
        </w:rPr>
        <w:t xml:space="preserve"> i nieklasycznymi – </w:t>
      </w:r>
      <w:proofErr w:type="spellStart"/>
      <w:r w:rsidRPr="00FD271C">
        <w:rPr>
          <w:rFonts w:ascii="Times New Roman" w:hAnsi="Times New Roman" w:cs="Times New Roman"/>
          <w:sz w:val="24"/>
          <w:szCs w:val="24"/>
        </w:rPr>
        <w:t>Sortino</w:t>
      </w:r>
      <w:proofErr w:type="spellEnd"/>
      <w:r w:rsidRPr="00FD271C">
        <w:rPr>
          <w:rFonts w:ascii="Times New Roman" w:hAnsi="Times New Roman" w:cs="Times New Roman"/>
          <w:sz w:val="24"/>
          <w:szCs w:val="24"/>
        </w:rPr>
        <w:t xml:space="preserve"> i Omega.</w:t>
      </w:r>
      <w:r>
        <w:rPr>
          <w:rFonts w:ascii="Times New Roman" w:hAnsi="Times New Roman" w:cs="Times New Roman"/>
          <w:sz w:val="24"/>
          <w:szCs w:val="24"/>
        </w:rPr>
        <w:t xml:space="preserve"> Pomiary dokonano dla całego okresu i okresów składowych stanowiących </w:t>
      </w:r>
      <w:r w:rsidRPr="00FD271C">
        <w:rPr>
          <w:rFonts w:ascii="Times New Roman" w:hAnsi="Times New Roman" w:cs="Times New Roman"/>
          <w:sz w:val="24"/>
          <w:szCs w:val="24"/>
        </w:rPr>
        <w:t>różn</w:t>
      </w:r>
      <w:r>
        <w:rPr>
          <w:rFonts w:ascii="Times New Roman" w:hAnsi="Times New Roman" w:cs="Times New Roman"/>
          <w:sz w:val="24"/>
          <w:szCs w:val="24"/>
        </w:rPr>
        <w:t>e etapy</w:t>
      </w:r>
      <w:r w:rsidRPr="00FD271C">
        <w:rPr>
          <w:rFonts w:ascii="Times New Roman" w:hAnsi="Times New Roman" w:cs="Times New Roman"/>
          <w:sz w:val="24"/>
          <w:szCs w:val="24"/>
        </w:rPr>
        <w:t xml:space="preserve"> cyklu gospodarczego</w:t>
      </w:r>
      <w:r>
        <w:rPr>
          <w:rFonts w:ascii="Times New Roman" w:hAnsi="Times New Roman" w:cs="Times New Roman"/>
          <w:sz w:val="24"/>
          <w:szCs w:val="24"/>
        </w:rPr>
        <w:t xml:space="preserve"> reprezentujące: </w:t>
      </w:r>
      <w:r w:rsidRPr="00FD271C">
        <w:rPr>
          <w:rFonts w:ascii="Times New Roman" w:hAnsi="Times New Roman" w:cs="Times New Roman"/>
          <w:sz w:val="24"/>
          <w:szCs w:val="24"/>
        </w:rPr>
        <w:t xml:space="preserve">wzrost, spowolnienie, czy też stopniową stabilizację sytuacji gospodarczej, tj. odpowiednio lata 2005-2007, 2008-2011 i 2012-2015. </w:t>
      </w:r>
    </w:p>
    <w:p w:rsidR="003B28E0" w:rsidRDefault="003B28E0" w:rsidP="003B28E0">
      <w:pPr>
        <w:spacing w:after="0" w:line="33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Analiza regresji panelowej wyróżniła cztery czynniki o charakterze makroekonomicznym wpływające na efektywność funduszy (mierzoną wskaźnikami </w:t>
      </w:r>
      <w:proofErr w:type="spellStart"/>
      <w:r>
        <w:rPr>
          <w:rFonts w:ascii="Times New Roman" w:hAnsi="Times New Roman" w:cs="Times New Roman"/>
          <w:sz w:val="24"/>
          <w:szCs w:val="24"/>
        </w:rPr>
        <w:t>Sharpe`a</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Sortino</w:t>
      </w:r>
      <w:proofErr w:type="spellEnd"/>
      <w:r>
        <w:rPr>
          <w:rFonts w:ascii="Times New Roman" w:hAnsi="Times New Roman" w:cs="Times New Roman"/>
          <w:sz w:val="24"/>
          <w:szCs w:val="24"/>
        </w:rPr>
        <w:t xml:space="preserve">). Wzrosty wskaźnika optymizmu przedsiębiorców, cen na GPW w Warszawie (indeks WIG) i wartości produktu krajowego brutto sprzyjały poprawie efektywności funduszy, a osłabiała ją wyższa dynamika wzrostu płac w gospodarce narodowej. W zróżnicowany sposób oddziaływały na efektywność trzy czynniki indywidualne dla ocenianych funduszy. Wydłużający się okres funkcjonowania funduszy i wzrost ich aktywów nie sprzyjały poprawie ich efektywności. Pozytywnie na efektywność wpływało z kolei zwiększanie wartości jednostki uczestnictwa. </w:t>
      </w:r>
    </w:p>
    <w:p w:rsidR="003B28E0" w:rsidRDefault="003B28E0" w:rsidP="003B28E0">
      <w:pPr>
        <w:spacing w:after="0" w:line="33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Ogólnie badania wykazały, że, przy pomiarze wszystkimi czterema metodami, </w:t>
      </w:r>
      <w:r w:rsidRPr="00CC28CB">
        <w:rPr>
          <w:rFonts w:ascii="Times New Roman" w:hAnsi="Times New Roman" w:cs="Times New Roman"/>
          <w:sz w:val="24"/>
          <w:szCs w:val="24"/>
        </w:rPr>
        <w:t>efektywność akcyjnych funduszy zmienia</w:t>
      </w:r>
      <w:r>
        <w:rPr>
          <w:rFonts w:ascii="Times New Roman" w:hAnsi="Times New Roman" w:cs="Times New Roman"/>
          <w:sz w:val="24"/>
          <w:szCs w:val="24"/>
        </w:rPr>
        <w:t>ła</w:t>
      </w:r>
      <w:r w:rsidRPr="00CC28CB">
        <w:rPr>
          <w:rFonts w:ascii="Times New Roman" w:hAnsi="Times New Roman" w:cs="Times New Roman"/>
          <w:sz w:val="24"/>
          <w:szCs w:val="24"/>
        </w:rPr>
        <w:t xml:space="preserve"> się zgodnie z kierunkami zmian sytuacji gospodarczej kraju. </w:t>
      </w:r>
      <w:r>
        <w:rPr>
          <w:rFonts w:ascii="Times New Roman" w:hAnsi="Times New Roman" w:cs="Times New Roman"/>
          <w:sz w:val="24"/>
          <w:szCs w:val="24"/>
        </w:rPr>
        <w:t>Jej p</w:t>
      </w:r>
      <w:r w:rsidRPr="00CC28CB">
        <w:rPr>
          <w:rFonts w:ascii="Times New Roman" w:hAnsi="Times New Roman" w:cs="Times New Roman"/>
          <w:sz w:val="24"/>
          <w:szCs w:val="24"/>
        </w:rPr>
        <w:t>oziom</w:t>
      </w:r>
      <w:r>
        <w:rPr>
          <w:rFonts w:ascii="Times New Roman" w:hAnsi="Times New Roman" w:cs="Times New Roman"/>
          <w:sz w:val="24"/>
          <w:szCs w:val="24"/>
        </w:rPr>
        <w:t xml:space="preserve"> istotnie </w:t>
      </w:r>
      <w:r w:rsidRPr="00CC28CB">
        <w:rPr>
          <w:rFonts w:ascii="Times New Roman" w:hAnsi="Times New Roman" w:cs="Times New Roman"/>
          <w:sz w:val="24"/>
          <w:szCs w:val="24"/>
        </w:rPr>
        <w:t>wzrastał bądź obniżał się wraz z poprawą lub pogorszeniem się sytuacji makroekonomicznej.</w:t>
      </w:r>
      <w:r>
        <w:rPr>
          <w:rFonts w:ascii="Times New Roman" w:hAnsi="Times New Roman" w:cs="Times New Roman"/>
          <w:sz w:val="24"/>
          <w:szCs w:val="24"/>
        </w:rPr>
        <w:t xml:space="preserve"> </w:t>
      </w:r>
      <w:r w:rsidRPr="00CC28CB">
        <w:rPr>
          <w:rFonts w:ascii="Times New Roman" w:hAnsi="Times New Roman" w:cs="Times New Roman"/>
          <w:sz w:val="24"/>
          <w:szCs w:val="24"/>
        </w:rPr>
        <w:t xml:space="preserve">Fundusze </w:t>
      </w:r>
      <w:r>
        <w:rPr>
          <w:rFonts w:ascii="Times New Roman" w:hAnsi="Times New Roman" w:cs="Times New Roman"/>
          <w:sz w:val="24"/>
          <w:szCs w:val="24"/>
        </w:rPr>
        <w:t>osiągały n</w:t>
      </w:r>
      <w:r w:rsidRPr="00CC28CB">
        <w:rPr>
          <w:rFonts w:ascii="Times New Roman" w:hAnsi="Times New Roman" w:cs="Times New Roman"/>
          <w:sz w:val="24"/>
          <w:szCs w:val="24"/>
        </w:rPr>
        <w:t>aj</w:t>
      </w:r>
      <w:r>
        <w:rPr>
          <w:rFonts w:ascii="Times New Roman" w:hAnsi="Times New Roman" w:cs="Times New Roman"/>
          <w:sz w:val="24"/>
          <w:szCs w:val="24"/>
        </w:rPr>
        <w:t xml:space="preserve">wyższe stopy zwrotu, a ich portfele generowały niskie ryzyko we wzrostowym </w:t>
      </w:r>
      <w:r w:rsidRPr="00CC28CB">
        <w:rPr>
          <w:rFonts w:ascii="Times New Roman" w:hAnsi="Times New Roman" w:cs="Times New Roman"/>
          <w:sz w:val="24"/>
          <w:szCs w:val="24"/>
        </w:rPr>
        <w:t>przedkryzysowym okresie</w:t>
      </w:r>
      <w:r>
        <w:rPr>
          <w:rFonts w:ascii="Times New Roman" w:hAnsi="Times New Roman" w:cs="Times New Roman"/>
          <w:sz w:val="24"/>
          <w:szCs w:val="24"/>
        </w:rPr>
        <w:t xml:space="preserve">, a najniższe stopy zwrotu i najwyższe poziomy ryzyka w okresie oddziaływania światowego kryzysu finansowego i kryzysu finansów publicznych w Europie Zachodniej.  </w:t>
      </w:r>
    </w:p>
    <w:p w:rsidR="00B9028B" w:rsidRDefault="003B28E0" w:rsidP="003B28E0">
      <w:pPr>
        <w:spacing w:after="0" w:line="336" w:lineRule="auto"/>
      </w:pPr>
      <w:r>
        <w:rPr>
          <w:rFonts w:ascii="Times New Roman" w:hAnsi="Times New Roman" w:cs="Times New Roman"/>
          <w:sz w:val="24"/>
          <w:szCs w:val="24"/>
        </w:rPr>
        <w:t>Warszawa, 06.04.2017</w:t>
      </w:r>
      <w:r>
        <w:br w:type="page"/>
      </w:r>
    </w:p>
    <w:sectPr w:rsidR="00B9028B" w:rsidSect="00B9028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3B28E0"/>
    <w:rsid w:val="00021515"/>
    <w:rsid w:val="00022860"/>
    <w:rsid w:val="000C5B4B"/>
    <w:rsid w:val="000F4E7E"/>
    <w:rsid w:val="000F5A21"/>
    <w:rsid w:val="0010459B"/>
    <w:rsid w:val="00130720"/>
    <w:rsid w:val="001626EF"/>
    <w:rsid w:val="0019051A"/>
    <w:rsid w:val="00253DF0"/>
    <w:rsid w:val="002708C1"/>
    <w:rsid w:val="00285329"/>
    <w:rsid w:val="00286C6C"/>
    <w:rsid w:val="002E1EC9"/>
    <w:rsid w:val="003B28E0"/>
    <w:rsid w:val="003C0497"/>
    <w:rsid w:val="0045523E"/>
    <w:rsid w:val="004852A1"/>
    <w:rsid w:val="00495482"/>
    <w:rsid w:val="004C2C13"/>
    <w:rsid w:val="0052771B"/>
    <w:rsid w:val="00560F41"/>
    <w:rsid w:val="00690A4F"/>
    <w:rsid w:val="006F5F3B"/>
    <w:rsid w:val="00774873"/>
    <w:rsid w:val="007908E4"/>
    <w:rsid w:val="007D5D47"/>
    <w:rsid w:val="007E3263"/>
    <w:rsid w:val="0083041B"/>
    <w:rsid w:val="0083526C"/>
    <w:rsid w:val="00836B62"/>
    <w:rsid w:val="008A51AA"/>
    <w:rsid w:val="009140C9"/>
    <w:rsid w:val="0091700F"/>
    <w:rsid w:val="009401A4"/>
    <w:rsid w:val="009904CD"/>
    <w:rsid w:val="009978B5"/>
    <w:rsid w:val="009A12FE"/>
    <w:rsid w:val="009B4A19"/>
    <w:rsid w:val="009C3B6D"/>
    <w:rsid w:val="00A05FBE"/>
    <w:rsid w:val="00AE0A09"/>
    <w:rsid w:val="00B24610"/>
    <w:rsid w:val="00B4162C"/>
    <w:rsid w:val="00B9028B"/>
    <w:rsid w:val="00BC4717"/>
    <w:rsid w:val="00C253A2"/>
    <w:rsid w:val="00C47FA2"/>
    <w:rsid w:val="00C77546"/>
    <w:rsid w:val="00DD4389"/>
    <w:rsid w:val="00E22D8A"/>
    <w:rsid w:val="00EE0495"/>
    <w:rsid w:val="00EE443A"/>
    <w:rsid w:val="00F9178D"/>
    <w:rsid w:val="00FB776C"/>
    <w:rsid w:val="00FB7FD1"/>
    <w:rsid w:val="00FD2214"/>
    <w:rsid w:val="00FE548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B28E0"/>
    <w:pPr>
      <w:spacing w:after="200" w:line="276" w:lineRule="auto"/>
      <w:jc w:val="left"/>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B28E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767</Words>
  <Characters>4603</Characters>
  <Application>Microsoft Office Word</Application>
  <DocSecurity>0</DocSecurity>
  <Lines>38</Lines>
  <Paragraphs>10</Paragraphs>
  <ScaleCrop>false</ScaleCrop>
  <Company/>
  <LinksUpToDate>false</LinksUpToDate>
  <CharactersWithSpaces>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Urszula Lipnicka</dc:creator>
  <cp:lastModifiedBy>Urszula Lipnicka</cp:lastModifiedBy>
  <cp:revision>1</cp:revision>
  <dcterms:created xsi:type="dcterms:W3CDTF">2017-07-19T09:46:00Z</dcterms:created>
  <dcterms:modified xsi:type="dcterms:W3CDTF">2017-07-19T09:53:00Z</dcterms:modified>
</cp:coreProperties>
</file>