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FED" w:rsidRPr="00164AC9" w:rsidRDefault="00164AC9" w:rsidP="00B751A4">
      <w:pPr>
        <w:jc w:val="both"/>
        <w:rPr>
          <w:sz w:val="28"/>
          <w:szCs w:val="28"/>
        </w:rPr>
      </w:pPr>
      <w:r w:rsidRPr="00164AC9">
        <w:rPr>
          <w:sz w:val="28"/>
          <w:szCs w:val="28"/>
        </w:rPr>
        <w:t>O</w:t>
      </w:r>
      <w:r w:rsidR="00AB3FED" w:rsidRPr="00164AC9">
        <w:rPr>
          <w:sz w:val="28"/>
          <w:szCs w:val="28"/>
        </w:rPr>
        <w:t xml:space="preserve">brona dyplomowa studia II-go stopnia kierunek </w:t>
      </w:r>
      <w:r w:rsidR="00AB3FED" w:rsidRPr="00164AC9">
        <w:rPr>
          <w:b/>
          <w:sz w:val="28"/>
          <w:szCs w:val="28"/>
        </w:rPr>
        <w:t>Finanse i Rachunkowość</w:t>
      </w:r>
    </w:p>
    <w:p w:rsidR="00AA7256" w:rsidRDefault="00AA7256" w:rsidP="00AA7256">
      <w:pPr>
        <w:jc w:val="both"/>
        <w:rPr>
          <w:sz w:val="28"/>
          <w:szCs w:val="28"/>
        </w:rPr>
      </w:pPr>
      <w:r w:rsidRPr="00164AC9">
        <w:rPr>
          <w:sz w:val="26"/>
          <w:szCs w:val="26"/>
        </w:rPr>
        <w:t xml:space="preserve">specjalność: </w:t>
      </w:r>
      <w:r w:rsidRPr="007B3B07">
        <w:rPr>
          <w:b/>
          <w:sz w:val="26"/>
          <w:szCs w:val="26"/>
        </w:rPr>
        <w:t>Rachunkowość i controlling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 xml:space="preserve">Podstawy prawne prowadzenia biura rachunkowego i zakres oferowanych usług 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Deregulacja usługowego prowadzenia ksiąg rachunkowych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– zalety i wady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Aspekty prawnej odpowiedzialności biur rachunkowych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 xml:space="preserve">Zalety i wady outsourcingu usług księgowych 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0" w:line="360" w:lineRule="auto"/>
        <w:contextualSpacing w:val="0"/>
        <w:rPr>
          <w:sz w:val="24"/>
          <w:szCs w:val="24"/>
        </w:rPr>
      </w:pPr>
      <w:r w:rsidRPr="007B3B07">
        <w:rPr>
          <w:sz w:val="24"/>
          <w:szCs w:val="24"/>
        </w:rPr>
        <w:t>Etyka w rachunkowości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teoria a praktyka gospodarcza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0" w:line="360" w:lineRule="auto"/>
        <w:contextualSpacing w:val="0"/>
        <w:rPr>
          <w:sz w:val="24"/>
          <w:szCs w:val="24"/>
        </w:rPr>
      </w:pPr>
      <w:r w:rsidRPr="007B3B07">
        <w:rPr>
          <w:sz w:val="24"/>
          <w:szCs w:val="24"/>
        </w:rPr>
        <w:t>Kodeks Zawodowej Etyki w Rachunkowości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 xml:space="preserve">- główne założenia 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hanging="357"/>
        <w:contextualSpacing w:val="0"/>
        <w:rPr>
          <w:sz w:val="24"/>
          <w:szCs w:val="24"/>
        </w:rPr>
      </w:pPr>
      <w:r w:rsidRPr="007B3B07">
        <w:rPr>
          <w:sz w:val="24"/>
          <w:szCs w:val="24"/>
        </w:rPr>
        <w:t>Dylematy etyczne w rachunkowości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 xml:space="preserve">- rachunkowość kreatywna a rachunkowość agresywna 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0" w:line="360" w:lineRule="auto"/>
        <w:contextualSpacing w:val="0"/>
        <w:rPr>
          <w:sz w:val="24"/>
          <w:szCs w:val="24"/>
        </w:rPr>
      </w:pPr>
      <w:r w:rsidRPr="007B3B07">
        <w:rPr>
          <w:sz w:val="24"/>
          <w:szCs w:val="24"/>
        </w:rPr>
        <w:t>Oszustwa księgowe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definicja, techniki, przykłady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Międzynarodowa standaryzacja i harmonizacja rachunkowości- cel i znaczenie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Rodzaje i metody wyceny aktywów i pasywów w rachunkowości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Ujęcie rozliczeń międzyokresowych w sprawozdaniu finansowym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hanging="357"/>
        <w:rPr>
          <w:sz w:val="24"/>
          <w:szCs w:val="24"/>
        </w:rPr>
      </w:pPr>
      <w:r w:rsidRPr="007B3B07">
        <w:rPr>
          <w:sz w:val="24"/>
          <w:szCs w:val="24"/>
        </w:rPr>
        <w:t>Środki trwałe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zaawansowane problemy wyceny według prawa bilansowego i</w:t>
      </w:r>
      <w:r>
        <w:rPr>
          <w:sz w:val="24"/>
          <w:szCs w:val="24"/>
        </w:rPr>
        <w:t> </w:t>
      </w:r>
      <w:r w:rsidRPr="007B3B07">
        <w:rPr>
          <w:sz w:val="24"/>
          <w:szCs w:val="24"/>
        </w:rPr>
        <w:t>podatkowego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Leasing operacyjny i finansowy w ujęciu prawa bilansowego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hanging="357"/>
        <w:rPr>
          <w:sz w:val="24"/>
          <w:szCs w:val="24"/>
        </w:rPr>
      </w:pPr>
      <w:r w:rsidRPr="007B3B07">
        <w:rPr>
          <w:sz w:val="24"/>
          <w:szCs w:val="24"/>
        </w:rPr>
        <w:t>Zasady ewidencji instrumentów finansowych oraz ich prezentacja w sprawozdaniu finansowym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Utrata wartości aktywów w księgach rachunkowych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regulacje i przesłanki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Rachunkowość zarządcza a controlling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podobieństwa i różnice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hanging="357"/>
        <w:rPr>
          <w:sz w:val="24"/>
          <w:szCs w:val="24"/>
        </w:rPr>
      </w:pPr>
      <w:r w:rsidRPr="007B3B07">
        <w:rPr>
          <w:sz w:val="24"/>
          <w:szCs w:val="24"/>
        </w:rPr>
        <w:t>Istota i zakres controllingu strategicznego, podstawy formułowania strategii przedsiębiorstwa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Controlling strategiczny a controlling operacyjny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najważniejsze różnice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Rola i znaczenie budżetowania w strategii przedsiębiorstwa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Strategia podatkowa w controllingu przedsiębiorstwa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Zasobowo-procesowy rachunek kosztów</w:t>
      </w:r>
      <w:r>
        <w:rPr>
          <w:sz w:val="24"/>
          <w:szCs w:val="24"/>
        </w:rPr>
        <w:t xml:space="preserve"> </w:t>
      </w:r>
      <w:r w:rsidRPr="007B3B07">
        <w:rPr>
          <w:sz w:val="24"/>
          <w:szCs w:val="24"/>
        </w:rPr>
        <w:t>- istota i korzyści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hanging="357"/>
        <w:rPr>
          <w:sz w:val="24"/>
          <w:szCs w:val="24"/>
        </w:rPr>
      </w:pPr>
      <w:r w:rsidRPr="007B3B07">
        <w:rPr>
          <w:sz w:val="24"/>
          <w:szCs w:val="24"/>
        </w:rPr>
        <w:t>Rozwój i charakterystyka systemów informatycznych wspomagających zarządzanie w</w:t>
      </w:r>
      <w:r>
        <w:rPr>
          <w:sz w:val="24"/>
          <w:szCs w:val="24"/>
        </w:rPr>
        <w:t> </w:t>
      </w:r>
      <w:r w:rsidRPr="007B3B07">
        <w:rPr>
          <w:sz w:val="24"/>
          <w:szCs w:val="24"/>
        </w:rPr>
        <w:t>przedsiębiorstwie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after="120" w:line="312" w:lineRule="auto"/>
        <w:ind w:left="714" w:right="-284" w:hanging="357"/>
        <w:rPr>
          <w:sz w:val="24"/>
          <w:szCs w:val="24"/>
        </w:rPr>
      </w:pPr>
      <w:r w:rsidRPr="007B3B07">
        <w:rPr>
          <w:sz w:val="24"/>
          <w:szCs w:val="24"/>
        </w:rPr>
        <w:t>Aspekty formalno-prawne wykorzystania systemów informatycznych w</w:t>
      </w:r>
      <w:r>
        <w:rPr>
          <w:sz w:val="24"/>
          <w:szCs w:val="24"/>
        </w:rPr>
        <w:t> </w:t>
      </w:r>
      <w:r w:rsidRPr="007B3B07">
        <w:rPr>
          <w:sz w:val="24"/>
          <w:szCs w:val="24"/>
        </w:rPr>
        <w:t>rachunkowości</w:t>
      </w:r>
    </w:p>
    <w:p w:rsidR="00AA7256" w:rsidRPr="007B3B07" w:rsidRDefault="00AA7256" w:rsidP="00AA7256">
      <w:pPr>
        <w:pStyle w:val="Akapitzlist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7B3B07">
        <w:rPr>
          <w:sz w:val="24"/>
          <w:szCs w:val="24"/>
        </w:rPr>
        <w:t>Istota prowadzenia rachunkowości zarządczej w systemie informatycznym</w:t>
      </w:r>
    </w:p>
    <w:p w:rsidR="00AA7256" w:rsidRPr="00C26CDD" w:rsidRDefault="00AA7256" w:rsidP="00AA7256">
      <w:pPr>
        <w:pStyle w:val="Akapitzlist"/>
        <w:numPr>
          <w:ilvl w:val="0"/>
          <w:numId w:val="13"/>
        </w:numPr>
        <w:spacing w:after="0" w:line="312" w:lineRule="auto"/>
        <w:ind w:left="714" w:hanging="357"/>
        <w:rPr>
          <w:sz w:val="28"/>
          <w:szCs w:val="28"/>
        </w:rPr>
      </w:pPr>
      <w:r w:rsidRPr="00C26CDD">
        <w:rPr>
          <w:sz w:val="24"/>
          <w:szCs w:val="24"/>
        </w:rPr>
        <w:t>Korzyści z wdrożenia zaawansowanej platformy zarządczo-controllingowej w</w:t>
      </w:r>
      <w:r>
        <w:rPr>
          <w:sz w:val="24"/>
          <w:szCs w:val="24"/>
        </w:rPr>
        <w:t> p</w:t>
      </w:r>
      <w:r w:rsidRPr="00C26CDD">
        <w:rPr>
          <w:sz w:val="24"/>
          <w:szCs w:val="24"/>
        </w:rPr>
        <w:t>rzedsiębiorstwie</w:t>
      </w:r>
      <w:r w:rsidRPr="00C26CDD">
        <w:rPr>
          <w:sz w:val="28"/>
          <w:szCs w:val="28"/>
        </w:rPr>
        <w:br w:type="page"/>
      </w:r>
    </w:p>
    <w:p w:rsidR="00946096" w:rsidRPr="00164AC9" w:rsidRDefault="00946096" w:rsidP="00946096">
      <w:pPr>
        <w:jc w:val="both"/>
        <w:rPr>
          <w:sz w:val="28"/>
          <w:szCs w:val="28"/>
        </w:rPr>
      </w:pPr>
      <w:r w:rsidRPr="00164AC9">
        <w:rPr>
          <w:sz w:val="28"/>
          <w:szCs w:val="28"/>
        </w:rPr>
        <w:lastRenderedPageBreak/>
        <w:t>Ob</w:t>
      </w:r>
      <w:r w:rsidRPr="00842BED">
        <w:rPr>
          <w:sz w:val="28"/>
          <w:szCs w:val="28"/>
        </w:rPr>
        <w:t>ron</w:t>
      </w:r>
      <w:r w:rsidRPr="00164AC9">
        <w:rPr>
          <w:sz w:val="28"/>
          <w:szCs w:val="28"/>
        </w:rPr>
        <w:t xml:space="preserve">a dyplomowa studia II-go stopnia kierunek </w:t>
      </w:r>
      <w:r w:rsidRPr="00164AC9">
        <w:rPr>
          <w:b/>
          <w:sz w:val="28"/>
          <w:szCs w:val="28"/>
        </w:rPr>
        <w:t>Finanse i Rachunkowość</w:t>
      </w:r>
    </w:p>
    <w:p w:rsidR="00946096" w:rsidRDefault="00946096" w:rsidP="00946096">
      <w:pPr>
        <w:spacing w:after="0" w:line="360" w:lineRule="auto"/>
        <w:rPr>
          <w:b/>
          <w:sz w:val="26"/>
          <w:szCs w:val="26"/>
        </w:rPr>
      </w:pPr>
      <w:r w:rsidRPr="00164AC9">
        <w:rPr>
          <w:sz w:val="26"/>
          <w:szCs w:val="26"/>
        </w:rPr>
        <w:t xml:space="preserve">specjalność: </w:t>
      </w:r>
      <w:r>
        <w:rPr>
          <w:b/>
          <w:sz w:val="26"/>
          <w:szCs w:val="26"/>
        </w:rPr>
        <w:t>Rachunkowość i prawo w biznesie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Podatek dochodowy od osób fizycznych. Przedmiot, podmiot opodatkowania, stawki u</w:t>
      </w:r>
      <w:r>
        <w:rPr>
          <w:sz w:val="24"/>
          <w:szCs w:val="24"/>
        </w:rPr>
        <w:t> </w:t>
      </w:r>
      <w:r w:rsidRPr="00842BED">
        <w:rPr>
          <w:sz w:val="24"/>
          <w:szCs w:val="24"/>
        </w:rPr>
        <w:t>przedsiębiorców i osób zatrudnionych na podstawie umowy o pracę.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Dochodzenie roszczeń w obrocie krajowym.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Regulacje prawne prowadzenia biura rachunkowego i zakres usług oferowanych przez biura rachunkowe.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Charakterystyka umów dotyczących korzystania z rzeczy ze szczególnym uwzględnieniem umowy leasingu.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Przykłady narzędzi rachunkowości zarządczej w środowisku informatycznym.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Postępowanie upadłościowe i jego skutki.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Metody konsolidacji sprawozdań.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Pomiar i wycena w systemie rachunkowości.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Należności przeterminowane i nieściągalne w systemie rachunkowości finansowej.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Prawne uwarunkowania zastosowania stawki podatku VAT 0%.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Dochodzenie roszczeń w obrocie międzynarodowym między podmiotami pochodzącymi z</w:t>
      </w:r>
      <w:r>
        <w:rPr>
          <w:sz w:val="24"/>
          <w:szCs w:val="24"/>
        </w:rPr>
        <w:t> </w:t>
      </w:r>
      <w:r w:rsidRPr="00842BED">
        <w:rPr>
          <w:sz w:val="24"/>
          <w:szCs w:val="24"/>
        </w:rPr>
        <w:t>Unii Europejskiej.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Organizacja zadań w biurze rachunkowym.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Umowa sprzedaży towarów ze szczególnym uwzględnieniem sprzedaży międzynarodowej.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Zdolność upadłościowa, przesłanki postępowań upadłościowego i naprawczego.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Rachunkowość przedsiębiorstw w procesie restrukturyzacji i upadłości.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Klasyfikacja i cechy informatycznych systemów rachunkowości.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Odroczony podatek dochodowy w krajowych i międzynarodowych regulacjach.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Ujęcie zobowiązań w sprawozdaniu finansowym.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proofErr w:type="spellStart"/>
      <w:r w:rsidRPr="00842BED">
        <w:rPr>
          <w:sz w:val="24"/>
          <w:szCs w:val="24"/>
        </w:rPr>
        <w:t>Parapodatki</w:t>
      </w:r>
      <w:proofErr w:type="spellEnd"/>
      <w:r w:rsidRPr="00842BED">
        <w:rPr>
          <w:sz w:val="24"/>
          <w:szCs w:val="24"/>
        </w:rPr>
        <w:t xml:space="preserve"> w Polsce. Ujęcie prawne i w systemie rachunkowości.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Standardy polskiego prawa podatkowego.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 xml:space="preserve">Prowadzenie ksiąg rachunkowych – własny księgowy, czy </w:t>
      </w:r>
      <w:proofErr w:type="spellStart"/>
      <w:r w:rsidRPr="00842BED">
        <w:rPr>
          <w:sz w:val="24"/>
          <w:szCs w:val="24"/>
        </w:rPr>
        <w:t>biuro</w:t>
      </w:r>
      <w:proofErr w:type="spellEnd"/>
      <w:r w:rsidRPr="00842BED">
        <w:rPr>
          <w:sz w:val="24"/>
          <w:szCs w:val="24"/>
        </w:rPr>
        <w:t xml:space="preserve"> rachunkowe? Wady i zalety.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Rezerwy na świadczenia pracownicze.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Wartości niematerialne i prawne w krajowych oraz międzynarodowych regulacjach.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357"/>
        <w:jc w:val="both"/>
        <w:rPr>
          <w:sz w:val="24"/>
          <w:szCs w:val="24"/>
        </w:rPr>
      </w:pPr>
      <w:r w:rsidRPr="00842BED">
        <w:rPr>
          <w:sz w:val="24"/>
          <w:szCs w:val="24"/>
        </w:rPr>
        <w:t>Podatek od wartości dodanej. Przedmiot, podmiot opodatkowania, stawki podatku i</w:t>
      </w:r>
      <w:r>
        <w:rPr>
          <w:sz w:val="24"/>
          <w:szCs w:val="24"/>
        </w:rPr>
        <w:t> </w:t>
      </w:r>
      <w:r w:rsidRPr="00842BED">
        <w:rPr>
          <w:sz w:val="24"/>
          <w:szCs w:val="24"/>
        </w:rPr>
        <w:t>zwolnienia.</w:t>
      </w:r>
    </w:p>
    <w:p w:rsidR="00946096" w:rsidRPr="00842BED" w:rsidRDefault="00946096" w:rsidP="00946096">
      <w:pPr>
        <w:pStyle w:val="Akapitzlist"/>
        <w:numPr>
          <w:ilvl w:val="0"/>
          <w:numId w:val="12"/>
        </w:numPr>
        <w:spacing w:after="0" w:line="360" w:lineRule="auto"/>
        <w:ind w:left="426" w:right="-284" w:hanging="426"/>
        <w:jc w:val="both"/>
        <w:rPr>
          <w:sz w:val="24"/>
          <w:szCs w:val="24"/>
        </w:rPr>
      </w:pPr>
      <w:r w:rsidRPr="00842BED">
        <w:rPr>
          <w:sz w:val="24"/>
          <w:szCs w:val="24"/>
        </w:rPr>
        <w:t xml:space="preserve">Amortyzacja środków trwałych w świetle przepisów prawa bilansowego i podatkowego. </w:t>
      </w:r>
    </w:p>
    <w:p w:rsidR="00946096" w:rsidRDefault="00946096" w:rsidP="00D94142">
      <w:pPr>
        <w:rPr>
          <w:sz w:val="26"/>
          <w:szCs w:val="26"/>
        </w:rPr>
      </w:pPr>
      <w:r w:rsidRPr="00164AC9">
        <w:rPr>
          <w:sz w:val="28"/>
          <w:szCs w:val="28"/>
        </w:rPr>
        <w:lastRenderedPageBreak/>
        <w:t xml:space="preserve">Obrona dyplomowa studia II-go stopnia kierunek </w:t>
      </w:r>
      <w:r w:rsidRPr="00164AC9">
        <w:rPr>
          <w:b/>
          <w:sz w:val="28"/>
          <w:szCs w:val="28"/>
        </w:rPr>
        <w:t>Finanse i Rachunkowość</w:t>
      </w:r>
    </w:p>
    <w:p w:rsidR="00D94142" w:rsidRPr="00164AC9" w:rsidRDefault="00D94142" w:rsidP="00D94142">
      <w:pPr>
        <w:rPr>
          <w:b/>
          <w:sz w:val="26"/>
          <w:szCs w:val="26"/>
        </w:rPr>
      </w:pPr>
      <w:r w:rsidRPr="00164AC9">
        <w:rPr>
          <w:sz w:val="26"/>
          <w:szCs w:val="26"/>
        </w:rPr>
        <w:t xml:space="preserve">specjalność: </w:t>
      </w:r>
      <w:r w:rsidRPr="00946096">
        <w:rPr>
          <w:b/>
          <w:color w:val="808080" w:themeColor="background1" w:themeShade="80"/>
          <w:sz w:val="26"/>
          <w:szCs w:val="26"/>
        </w:rPr>
        <w:t>Doradztwo podatkowe i ubezpieczeniowe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Podstawowe akty prawne regulujące działalność ubezpieczeniową.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 xml:space="preserve">Nowa koncepcja w zakresie wypłacalności przedsiębiorstw ubezpieczeniowych – </w:t>
      </w:r>
      <w:proofErr w:type="spellStart"/>
      <w:r w:rsidRPr="00164AC9">
        <w:rPr>
          <w:sz w:val="24"/>
          <w:szCs w:val="24"/>
        </w:rPr>
        <w:t>Solvency</w:t>
      </w:r>
      <w:proofErr w:type="spellEnd"/>
      <w:r w:rsidRPr="00164AC9">
        <w:rPr>
          <w:sz w:val="24"/>
          <w:szCs w:val="24"/>
        </w:rPr>
        <w:t xml:space="preserve"> II.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Ubezpieczeniowe instrumenty rynku kapitałowego.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Współpraca bankowo-ubezpieczeniowa w łańcuchu tworzenia wartości rynkowej (</w:t>
      </w:r>
      <w:proofErr w:type="spellStart"/>
      <w:r w:rsidRPr="00164AC9">
        <w:rPr>
          <w:sz w:val="24"/>
          <w:szCs w:val="24"/>
        </w:rPr>
        <w:t>bancassurance</w:t>
      </w:r>
      <w:proofErr w:type="spellEnd"/>
      <w:r w:rsidRPr="00164AC9">
        <w:rPr>
          <w:sz w:val="24"/>
          <w:szCs w:val="24"/>
        </w:rPr>
        <w:t>).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Przesłanki i uwarunkowania globalizacji działalności ubezpieczeniowej.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Znaczenie doradztwa podatkowego i ubezpieczeniowego w podniesieniu efektywności zarządzania finansami osobistymi.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Pojęcie i przedmiot nadzoru ubezpieczeniowego.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Ubezpieczenia a potencjał przedsiębiorstwa/Ochrona ubezpieczeniowa przedsiębiorstwa.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Klasyfikacja ubezpieczeń.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Rodzaje i cechy ryzyk objętych ubezpieczeniem społecznym.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Obciążenia podatkowe przedsiębiorstw.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 xml:space="preserve">Obciążenia </w:t>
      </w:r>
      <w:proofErr w:type="spellStart"/>
      <w:r w:rsidRPr="00164AC9">
        <w:rPr>
          <w:sz w:val="24"/>
          <w:szCs w:val="24"/>
        </w:rPr>
        <w:t>pozapodatkowe</w:t>
      </w:r>
      <w:proofErr w:type="spellEnd"/>
      <w:r w:rsidRPr="00164AC9">
        <w:rPr>
          <w:sz w:val="24"/>
          <w:szCs w:val="24"/>
        </w:rPr>
        <w:t xml:space="preserve"> przedsiębiorstw.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Podatki pośrednie w polskim systemie podatkowym.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Podatki bezpośrednie w polskim systemie podatkowym.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Podatki lokalne.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Podatek VAT w polskim systemie podatkowym.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Podatek VAT w transakcjach unijnych.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Podatek i jego cechy stałe i zmienne.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Wybór formy opodatkowania dochodów.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Wybór lub rezygnacja ze zwolnienia podmiotowego z podatku VAT.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Opodatkowanie powstawania, łączenia i likwidacji spółek.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Podatkowe grupy kapitałowe.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>Uchylanie się i unikanie opodatkowania.</w:t>
      </w:r>
    </w:p>
    <w:p w:rsidR="00D94142" w:rsidRPr="00164AC9" w:rsidRDefault="00D94142" w:rsidP="00D94142">
      <w:pPr>
        <w:numPr>
          <w:ilvl w:val="0"/>
          <w:numId w:val="9"/>
        </w:numPr>
        <w:spacing w:after="0" w:line="360" w:lineRule="auto"/>
        <w:rPr>
          <w:sz w:val="24"/>
          <w:szCs w:val="24"/>
        </w:rPr>
      </w:pPr>
      <w:r w:rsidRPr="00164AC9">
        <w:rPr>
          <w:sz w:val="24"/>
          <w:szCs w:val="24"/>
        </w:rPr>
        <w:t xml:space="preserve"> Kontrola podatkowa i skarbowa.</w:t>
      </w:r>
    </w:p>
    <w:p w:rsidR="00D94142" w:rsidRPr="00946096" w:rsidRDefault="00D94142" w:rsidP="00946096">
      <w:pPr>
        <w:numPr>
          <w:ilvl w:val="0"/>
          <w:numId w:val="9"/>
        </w:numPr>
        <w:spacing w:after="0" w:line="240" w:lineRule="auto"/>
        <w:rPr>
          <w:sz w:val="26"/>
          <w:szCs w:val="26"/>
        </w:rPr>
      </w:pPr>
      <w:r w:rsidRPr="00946096">
        <w:rPr>
          <w:sz w:val="24"/>
          <w:szCs w:val="24"/>
        </w:rPr>
        <w:t xml:space="preserve">Zjawisko </w:t>
      </w:r>
      <w:proofErr w:type="spellStart"/>
      <w:r w:rsidRPr="00946096">
        <w:rPr>
          <w:sz w:val="24"/>
          <w:szCs w:val="24"/>
        </w:rPr>
        <w:t>przerzucalności</w:t>
      </w:r>
      <w:proofErr w:type="spellEnd"/>
      <w:r w:rsidRPr="00946096">
        <w:rPr>
          <w:sz w:val="24"/>
          <w:szCs w:val="24"/>
        </w:rPr>
        <w:t xml:space="preserve"> podatkowej.</w:t>
      </w:r>
    </w:p>
    <w:sectPr w:rsidR="00D94142" w:rsidRPr="00946096" w:rsidSect="00842BED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4F9" w:rsidRDefault="00EA44F9" w:rsidP="00B751A4">
      <w:pPr>
        <w:spacing w:after="0" w:line="240" w:lineRule="auto"/>
      </w:pPr>
      <w:r>
        <w:separator/>
      </w:r>
    </w:p>
  </w:endnote>
  <w:endnote w:type="continuationSeparator" w:id="0">
    <w:p w:rsidR="00EA44F9" w:rsidRDefault="00EA44F9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4F9" w:rsidRDefault="00EA44F9" w:rsidP="00B751A4">
      <w:pPr>
        <w:spacing w:after="0" w:line="240" w:lineRule="auto"/>
      </w:pPr>
      <w:r>
        <w:separator/>
      </w:r>
    </w:p>
  </w:footnote>
  <w:footnote w:type="continuationSeparator" w:id="0">
    <w:p w:rsidR="00EA44F9" w:rsidRDefault="00EA44F9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FED" w:rsidRDefault="00BC359A" w:rsidP="00B751A4">
    <w:pPr>
      <w:pStyle w:val="Nagwek"/>
      <w:spacing w:after="240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_wzieu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3FED" w:rsidRPr="00B751A4">
      <w:rPr>
        <w:sz w:val="28"/>
        <w:szCs w:val="28"/>
      </w:rPr>
      <w:t>Py</w:t>
    </w:r>
    <w:r w:rsidR="008F29CD">
      <w:rPr>
        <w:sz w:val="28"/>
        <w:szCs w:val="28"/>
      </w:rPr>
      <w:t>tania specjalnościowe 201</w:t>
    </w:r>
    <w:r w:rsidR="00AA7256">
      <w:rPr>
        <w:sz w:val="28"/>
        <w:szCs w:val="28"/>
      </w:rPr>
      <w:t>8</w:t>
    </w:r>
    <w:r w:rsidR="008F29CD">
      <w:rPr>
        <w:sz w:val="28"/>
        <w:szCs w:val="28"/>
      </w:rPr>
      <w:t>/201</w:t>
    </w:r>
    <w:r w:rsidR="00AA7256">
      <w:rPr>
        <w:sz w:val="28"/>
        <w:szCs w:val="28"/>
      </w:rPr>
      <w:t>9</w:t>
    </w:r>
    <w:r w:rsidR="00AB3FED"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EF27BE9"/>
    <w:multiLevelType w:val="hybridMultilevel"/>
    <w:tmpl w:val="FCD64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  <w:rPr>
        <w:rFonts w:cs="Times New Roman"/>
      </w:rPr>
    </w:lvl>
  </w:abstractNum>
  <w:abstractNum w:abstractNumId="5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F964074"/>
    <w:multiLevelType w:val="hybridMultilevel"/>
    <w:tmpl w:val="D31A05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4782C"/>
    <w:multiLevelType w:val="hybridMultilevel"/>
    <w:tmpl w:val="E904DC9E"/>
    <w:lvl w:ilvl="0" w:tplc="45E493D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  <w:rPr>
        <w:rFonts w:cs="Times New Roman"/>
      </w:rPr>
    </w:lvl>
  </w:abstractNum>
  <w:abstractNum w:abstractNumId="10">
    <w:nsid w:val="6B7F39CA"/>
    <w:multiLevelType w:val="hybridMultilevel"/>
    <w:tmpl w:val="8C924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0"/>
  </w:num>
  <w:num w:numId="8">
    <w:abstractNumId w:val="8"/>
  </w:num>
  <w:num w:numId="9">
    <w:abstractNumId w:val="10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52FAC"/>
    <w:rsid w:val="0007665D"/>
    <w:rsid w:val="000A4BAA"/>
    <w:rsid w:val="000B0A82"/>
    <w:rsid w:val="000B7874"/>
    <w:rsid w:val="00164AC9"/>
    <w:rsid w:val="001C5B9E"/>
    <w:rsid w:val="002A7EE6"/>
    <w:rsid w:val="002D030A"/>
    <w:rsid w:val="002E731E"/>
    <w:rsid w:val="003344A6"/>
    <w:rsid w:val="003447A4"/>
    <w:rsid w:val="003C0942"/>
    <w:rsid w:val="00473599"/>
    <w:rsid w:val="004F35F5"/>
    <w:rsid w:val="005D2C61"/>
    <w:rsid w:val="00601199"/>
    <w:rsid w:val="00625FE9"/>
    <w:rsid w:val="006B2BE4"/>
    <w:rsid w:val="006D3B0C"/>
    <w:rsid w:val="006F1487"/>
    <w:rsid w:val="007013E5"/>
    <w:rsid w:val="007B1CE2"/>
    <w:rsid w:val="007B28F2"/>
    <w:rsid w:val="007B3B07"/>
    <w:rsid w:val="007C698C"/>
    <w:rsid w:val="007D6117"/>
    <w:rsid w:val="007D704D"/>
    <w:rsid w:val="007F3C78"/>
    <w:rsid w:val="00842BED"/>
    <w:rsid w:val="00861F7C"/>
    <w:rsid w:val="00870C9B"/>
    <w:rsid w:val="00874D73"/>
    <w:rsid w:val="008F29CD"/>
    <w:rsid w:val="00946096"/>
    <w:rsid w:val="009511BB"/>
    <w:rsid w:val="0095212D"/>
    <w:rsid w:val="00985C46"/>
    <w:rsid w:val="00A16B37"/>
    <w:rsid w:val="00AA7256"/>
    <w:rsid w:val="00AB3FED"/>
    <w:rsid w:val="00AF0AB6"/>
    <w:rsid w:val="00B0296A"/>
    <w:rsid w:val="00B751A4"/>
    <w:rsid w:val="00BC359A"/>
    <w:rsid w:val="00C26CDD"/>
    <w:rsid w:val="00C301A9"/>
    <w:rsid w:val="00C85128"/>
    <w:rsid w:val="00CE3C94"/>
    <w:rsid w:val="00CF08F7"/>
    <w:rsid w:val="00D55352"/>
    <w:rsid w:val="00D637F0"/>
    <w:rsid w:val="00D94142"/>
    <w:rsid w:val="00DA3882"/>
    <w:rsid w:val="00DD1743"/>
    <w:rsid w:val="00DF038A"/>
    <w:rsid w:val="00E02A2A"/>
    <w:rsid w:val="00E035A6"/>
    <w:rsid w:val="00EA44F9"/>
    <w:rsid w:val="00EE62E4"/>
    <w:rsid w:val="00F0594F"/>
    <w:rsid w:val="00F553FE"/>
    <w:rsid w:val="00F71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51A4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51A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uiPriority w:val="99"/>
    <w:rsid w:val="00DF038A"/>
    <w:pPr>
      <w:ind w:left="72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obrona dyplomowa studia II-go stopnia kierunek Finanse i Rachunkowość</vt:lpstr>
    </vt:vector>
  </TitlesOfParts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obrona dyplomowa studia II-go stopnia kierunek Finanse i Rachunkowość</dc:title>
  <dc:creator>Windows User</dc:creator>
  <cp:lastModifiedBy>Monika Sutryk</cp:lastModifiedBy>
  <cp:revision>3</cp:revision>
  <cp:lastPrinted>2016-01-12T06:43:00Z</cp:lastPrinted>
  <dcterms:created xsi:type="dcterms:W3CDTF">2019-02-05T08:26:00Z</dcterms:created>
  <dcterms:modified xsi:type="dcterms:W3CDTF">2019-02-05T08:29:00Z</dcterms:modified>
</cp:coreProperties>
</file>