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B751A4" w:rsidRDefault="00081974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751A4" w:rsidRPr="00B751A4">
        <w:rPr>
          <w:sz w:val="28"/>
          <w:szCs w:val="28"/>
        </w:rPr>
        <w:t>brona dyplomowa studia I</w:t>
      </w:r>
      <w:r w:rsidR="00B80708">
        <w:rPr>
          <w:sz w:val="28"/>
          <w:szCs w:val="28"/>
        </w:rPr>
        <w:t>I</w:t>
      </w:r>
      <w:r w:rsidR="00B751A4" w:rsidRPr="00B751A4">
        <w:rPr>
          <w:sz w:val="28"/>
          <w:szCs w:val="28"/>
        </w:rPr>
        <w:t xml:space="preserve">-go stopnia kierunek </w:t>
      </w:r>
      <w:r w:rsidR="00B751A4" w:rsidRPr="00B751A4">
        <w:rPr>
          <w:b/>
          <w:sz w:val="28"/>
          <w:szCs w:val="28"/>
        </w:rPr>
        <w:t>Ekonomia</w:t>
      </w:r>
    </w:p>
    <w:p w:rsidR="00804B48" w:rsidRPr="00804B48" w:rsidRDefault="00804B48" w:rsidP="00804B48">
      <w:pPr>
        <w:spacing w:after="0"/>
        <w:rPr>
          <w:rFonts w:cs="Times New Roman"/>
          <w:sz w:val="26"/>
          <w:szCs w:val="26"/>
        </w:rPr>
      </w:pPr>
      <w:r w:rsidRPr="00804B48">
        <w:rPr>
          <w:rFonts w:cs="Times New Roman"/>
          <w:sz w:val="26"/>
          <w:szCs w:val="26"/>
        </w:rPr>
        <w:t xml:space="preserve">specjalność: </w:t>
      </w:r>
      <w:r w:rsidRPr="00804B48">
        <w:rPr>
          <w:rFonts w:cs="Times New Roman"/>
          <w:b/>
          <w:sz w:val="26"/>
          <w:szCs w:val="26"/>
        </w:rPr>
        <w:t>Ekonomia międzynarodowa</w:t>
      </w:r>
    </w:p>
    <w:p w:rsidR="00804B48" w:rsidRPr="00882257" w:rsidRDefault="00804B48" w:rsidP="00804B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Wymień i omów podstawowe funkcje organizacji międzynarodowych.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Co to jest międzynarodowa organizacja pozarządowa?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Jakie cele realizuje Organizacja Narodów Zjednoczonych (ONZ)?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Jaką rolę odgrywa Światowa Organizacja Handlu (WTO) we współczesnej gospodarce światowej?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Środki unijne jako źródło finansowania projektów.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Procedury pozyskiwania środków z funduszy pomocowych Unii Europejskiej.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Pozytywny wpływ procesów globalizacji na gospodarkę krajów rozwijających się.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Negatywny wpływ procesów globalizacji na gospodarkę krajów rozwijających się.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Czynniki wewnętrzne i zewnętrzne wywierające wpływ na gospodarkę krajów rozwijających się.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Przyczyny ubóstwa. Działania zmierzające do przezwyciężenia ubóstwa.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Jakie są instrumenty (formy, sposoby) internacjonalizacji przedsiębiorstw? Proszę scharakteryzować jeden dowolnie wybrany instrument.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Jakie są korzyści z umiędzynarodowienia działalności przedsiębiorstwa?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Pojęcie ryzyka finansowego. Proszę wyjaśnić, w jaki sposób z handlem zagranicznym wiąże się ryzyko finansowe?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Funkcjonowanie rynku walutowego. Rodzaje transakcji walutowych.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Istota i style negocjacji. Techniki negocjacji w stosunkach międzynarodowych.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Dostosowanie technik negocjacji do wybranych kultur.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</w:t>
      </w:r>
      <w:r w:rsidRPr="00804B48">
        <w:rPr>
          <w:rFonts w:cs="Times New Roman"/>
          <w:sz w:val="24"/>
          <w:szCs w:val="24"/>
        </w:rPr>
        <w:t>harakterystyk</w:t>
      </w:r>
      <w:r>
        <w:rPr>
          <w:rFonts w:cs="Times New Roman"/>
          <w:sz w:val="24"/>
          <w:szCs w:val="24"/>
        </w:rPr>
        <w:t>a</w:t>
      </w:r>
      <w:r w:rsidRPr="00804B48">
        <w:rPr>
          <w:rFonts w:cs="Times New Roman"/>
          <w:sz w:val="24"/>
          <w:szCs w:val="24"/>
        </w:rPr>
        <w:t xml:space="preserve"> korporacji transnarodowych</w:t>
      </w:r>
      <w:r>
        <w:rPr>
          <w:rFonts w:cs="Times New Roman"/>
          <w:sz w:val="24"/>
          <w:szCs w:val="24"/>
        </w:rPr>
        <w:t xml:space="preserve"> </w:t>
      </w:r>
      <w:r w:rsidRPr="00804B48">
        <w:rPr>
          <w:rFonts w:cs="Times New Roman"/>
          <w:sz w:val="24"/>
          <w:szCs w:val="24"/>
        </w:rPr>
        <w:t>w oparciu o wybrane przykłady.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Wpływ ekspansji korporacji transnarodowych na gospodarkę kraju goszczącego.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Co to jest kodeks etyczny? Jakie normy postępowania powinny zawierać kodeksy etyczne przedsiębiorstw funkcjonujących w przestrzeni międzynarodowej?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Różne aspekty społecznej odpowiedzialności biznesu międzynarodowego.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Proszę wyjaśnić przyczyny nierówności rozwojowych na przykładzie wybranych krajów.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Ekonomiczne i społeczne konsekwencje nierówności w gospodarce międzynarodowej.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Rola migracji międzynarodowych w niwelowaniu nierówności.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r w:rsidRPr="00804B48">
        <w:rPr>
          <w:rFonts w:cs="Times New Roman"/>
          <w:sz w:val="24"/>
          <w:szCs w:val="24"/>
        </w:rPr>
        <w:t>Działalność Ministerstwa Spraw Zagranicznych w zakresie dyplomacji gospodarczej.</w:t>
      </w:r>
    </w:p>
    <w:p w:rsidR="00804B48" w:rsidRPr="00804B48" w:rsidRDefault="00804B48" w:rsidP="00804B48">
      <w:pPr>
        <w:pStyle w:val="Akapitzlist"/>
        <w:numPr>
          <w:ilvl w:val="0"/>
          <w:numId w:val="6"/>
        </w:numPr>
        <w:spacing w:after="0" w:line="336" w:lineRule="auto"/>
        <w:ind w:left="425" w:hanging="425"/>
        <w:jc w:val="both"/>
        <w:rPr>
          <w:rFonts w:cs="Times New Roman"/>
          <w:sz w:val="24"/>
          <w:szCs w:val="24"/>
        </w:rPr>
      </w:pPr>
      <w:proofErr w:type="spellStart"/>
      <w:r w:rsidRPr="00804B48">
        <w:rPr>
          <w:rFonts w:cs="Times New Roman"/>
          <w:sz w:val="24"/>
          <w:szCs w:val="24"/>
        </w:rPr>
        <w:t>Precedencja</w:t>
      </w:r>
      <w:proofErr w:type="spellEnd"/>
      <w:r w:rsidRPr="00804B48">
        <w:rPr>
          <w:rFonts w:cs="Times New Roman"/>
          <w:sz w:val="24"/>
          <w:szCs w:val="24"/>
        </w:rPr>
        <w:t xml:space="preserve"> w protokole dyplomatycznym.</w:t>
      </w:r>
    </w:p>
    <w:p w:rsidR="00804B48" w:rsidRDefault="00804B48" w:rsidP="006759AA">
      <w:pPr>
        <w:spacing w:after="0"/>
        <w:rPr>
          <w:rFonts w:cs="Times New Roman"/>
          <w:sz w:val="26"/>
          <w:szCs w:val="26"/>
        </w:rPr>
      </w:pPr>
    </w:p>
    <w:p w:rsidR="00805916" w:rsidRDefault="00805916" w:rsidP="006759AA">
      <w:pPr>
        <w:spacing w:after="0"/>
        <w:rPr>
          <w:rFonts w:cs="Times New Roman"/>
          <w:sz w:val="26"/>
          <w:szCs w:val="26"/>
        </w:rPr>
      </w:pPr>
    </w:p>
    <w:p w:rsidR="00804B48" w:rsidRPr="00B751A4" w:rsidRDefault="00804B48" w:rsidP="00804B4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O</w:t>
      </w:r>
      <w:r w:rsidRPr="00B751A4">
        <w:rPr>
          <w:sz w:val="28"/>
          <w:szCs w:val="28"/>
        </w:rPr>
        <w:t>brona dyplomowa studia I</w:t>
      </w:r>
      <w:r>
        <w:rPr>
          <w:sz w:val="28"/>
          <w:szCs w:val="28"/>
        </w:rPr>
        <w:t>I</w:t>
      </w:r>
      <w:r w:rsidRPr="00B751A4">
        <w:rPr>
          <w:sz w:val="28"/>
          <w:szCs w:val="28"/>
        </w:rPr>
        <w:t xml:space="preserve">-go stopnia kierunek </w:t>
      </w:r>
      <w:r w:rsidRPr="00B751A4">
        <w:rPr>
          <w:b/>
          <w:sz w:val="28"/>
          <w:szCs w:val="28"/>
        </w:rPr>
        <w:t>Ekonomia</w:t>
      </w:r>
    </w:p>
    <w:p w:rsidR="006759AA" w:rsidRPr="00081974" w:rsidRDefault="006759AA" w:rsidP="006759AA">
      <w:pPr>
        <w:spacing w:after="0"/>
        <w:rPr>
          <w:sz w:val="26"/>
          <w:szCs w:val="26"/>
        </w:rPr>
      </w:pPr>
      <w:r w:rsidRPr="00081974">
        <w:rPr>
          <w:rFonts w:cs="Times New Roman"/>
          <w:sz w:val="26"/>
          <w:szCs w:val="26"/>
        </w:rPr>
        <w:t xml:space="preserve">specjalność: </w:t>
      </w:r>
      <w:r w:rsidRPr="00804B48">
        <w:rPr>
          <w:b/>
          <w:color w:val="808080" w:themeColor="background1" w:themeShade="80"/>
          <w:sz w:val="26"/>
          <w:szCs w:val="26"/>
        </w:rPr>
        <w:t>Ekonomika regionalna</w:t>
      </w:r>
    </w:p>
    <w:p w:rsidR="006759AA" w:rsidRPr="00762C0D" w:rsidRDefault="006759AA" w:rsidP="006759AA">
      <w:pPr>
        <w:spacing w:after="0" w:line="240" w:lineRule="auto"/>
        <w:rPr>
          <w:sz w:val="24"/>
          <w:szCs w:val="24"/>
        </w:rPr>
      </w:pP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Rodzaje i struktura dochodów budżetu województwa</w:t>
      </w:r>
      <w:r>
        <w:rPr>
          <w:color w:val="000000"/>
          <w:sz w:val="24"/>
          <w:szCs w:val="24"/>
        </w:rPr>
        <w:t>.</w:t>
      </w:r>
      <w:r w:rsidRPr="00762C0D">
        <w:rPr>
          <w:color w:val="000000"/>
          <w:sz w:val="24"/>
          <w:szCs w:val="24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Zewnętrzne źródła zasileń budżetu województwa</w:t>
      </w:r>
      <w:r>
        <w:rPr>
          <w:color w:val="000000"/>
          <w:sz w:val="24"/>
          <w:szCs w:val="24"/>
        </w:rPr>
        <w:t>.</w:t>
      </w:r>
      <w:r w:rsidRPr="00762C0D">
        <w:rPr>
          <w:color w:val="000000"/>
          <w:sz w:val="24"/>
          <w:szCs w:val="24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hd w:val="clear" w:color="auto" w:fill="FFFFFF"/>
        <w:spacing w:after="0" w:line="336" w:lineRule="auto"/>
        <w:ind w:left="425" w:hanging="425"/>
        <w:jc w:val="both"/>
        <w:rPr>
          <w:color w:val="000000"/>
          <w:sz w:val="24"/>
          <w:szCs w:val="24"/>
          <w:lang w:eastAsia="pl-PL"/>
        </w:rPr>
      </w:pPr>
      <w:r w:rsidRPr="00762C0D">
        <w:rPr>
          <w:color w:val="000000"/>
          <w:sz w:val="24"/>
          <w:szCs w:val="24"/>
          <w:lang w:eastAsia="pl-PL"/>
        </w:rPr>
        <w:t>Pomoc publiczna – przesłanki, zasady, pomoc regionalna</w:t>
      </w:r>
      <w:r>
        <w:rPr>
          <w:color w:val="000000"/>
          <w:sz w:val="24"/>
          <w:szCs w:val="24"/>
          <w:lang w:eastAsia="pl-PL"/>
        </w:rPr>
        <w:t>.</w:t>
      </w:r>
      <w:r w:rsidRPr="00762C0D">
        <w:rPr>
          <w:color w:val="000000"/>
          <w:sz w:val="24"/>
          <w:szCs w:val="24"/>
          <w:lang w:eastAsia="pl-PL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Determinanty wyboru źródeł finansowania inwestycji JST (ze szczególnym uwzględnieniem szczebla regionalnego)</w:t>
      </w:r>
      <w:r>
        <w:rPr>
          <w:color w:val="000000"/>
          <w:sz w:val="24"/>
          <w:szCs w:val="24"/>
        </w:rPr>
        <w:t>.</w:t>
      </w:r>
      <w:r w:rsidRPr="00762C0D">
        <w:rPr>
          <w:color w:val="000000"/>
          <w:sz w:val="24"/>
          <w:szCs w:val="24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Kontrakt terytorialny i jego rola w finansowaniu rozwoju regionalnego</w:t>
      </w:r>
      <w:r>
        <w:rPr>
          <w:color w:val="000000"/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Cele i zasady Regionalnego Programu Operacyjnego (na wybranym przykładzie)</w:t>
      </w:r>
      <w:r>
        <w:rPr>
          <w:color w:val="000000"/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Zintegrowane Inwestycje Terytorialne jako sposób finansowego wsparcia ośrodków miejskich</w:t>
      </w:r>
      <w:r>
        <w:rPr>
          <w:color w:val="000000"/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hd w:val="clear" w:color="auto" w:fill="FFFFFF"/>
        <w:spacing w:after="0" w:line="336" w:lineRule="auto"/>
        <w:ind w:left="425" w:hanging="425"/>
        <w:jc w:val="both"/>
        <w:rPr>
          <w:color w:val="000000"/>
          <w:sz w:val="24"/>
          <w:szCs w:val="24"/>
          <w:lang w:eastAsia="pl-PL"/>
        </w:rPr>
      </w:pPr>
      <w:r w:rsidRPr="00762C0D">
        <w:rPr>
          <w:color w:val="000000"/>
          <w:sz w:val="24"/>
          <w:szCs w:val="24"/>
          <w:shd w:val="clear" w:color="auto" w:fill="FFFFFF"/>
        </w:rPr>
        <w:t>Pojęcie instrumentów inżynierii finansowej i ich główne założenia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Sejmik województwa jako organ uchwałodawczy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Kompetencje zarządu województwa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Marszałek województwa i jego rola w samorządzie województwa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Wojewódzkie osoby prawne i ich zadania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Default"/>
        <w:numPr>
          <w:ilvl w:val="0"/>
          <w:numId w:val="3"/>
        </w:numPr>
        <w:spacing w:line="336" w:lineRule="auto"/>
        <w:ind w:left="425" w:hanging="425"/>
        <w:jc w:val="both"/>
        <w:rPr>
          <w:rFonts w:asciiTheme="minorHAnsi" w:hAnsiTheme="minorHAnsi"/>
        </w:rPr>
      </w:pPr>
      <w:r w:rsidRPr="00762C0D">
        <w:rPr>
          <w:rFonts w:asciiTheme="minorHAnsi" w:hAnsiTheme="minorHAnsi"/>
        </w:rPr>
        <w:t>Bariery rozwoju regionalnego w kontekście zróżnicowania terytorialnego</w:t>
      </w:r>
      <w:r>
        <w:rPr>
          <w:rFonts w:asciiTheme="minorHAnsi" w:hAnsiTheme="minorHAnsi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Uzasadnienie polityki spójności w Unii Europejskiej</w:t>
      </w:r>
      <w:r>
        <w:rPr>
          <w:color w:val="000000"/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Wpływ polityki regionalnej na wzrost konkurencyjności i innowacyjności przedsiębiorstw w wybranym kraju Unii Europejskiej</w:t>
      </w:r>
      <w:r>
        <w:rPr>
          <w:color w:val="000000"/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Europejski Fundusz Społeczny – charakterystyka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36" w:lineRule="auto"/>
        <w:ind w:left="425" w:hanging="425"/>
        <w:jc w:val="both"/>
        <w:rPr>
          <w:color w:val="000000"/>
          <w:sz w:val="24"/>
          <w:szCs w:val="24"/>
        </w:rPr>
      </w:pPr>
      <w:r w:rsidRPr="00762C0D">
        <w:rPr>
          <w:color w:val="000000"/>
          <w:sz w:val="24"/>
          <w:szCs w:val="24"/>
        </w:rPr>
        <w:t>Strategia Europa 2020 jako wizja społecznej gospodarki rynkowej dla Europy XXI wieku – założenia</w:t>
      </w:r>
      <w:r>
        <w:rPr>
          <w:color w:val="000000"/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Gospodarka przestrzenna – charakterystyka pojęcia, główne cele</w:t>
      </w:r>
      <w:r>
        <w:rPr>
          <w:sz w:val="24"/>
          <w:szCs w:val="24"/>
        </w:rPr>
        <w:t>.</w:t>
      </w:r>
      <w:r w:rsidRPr="00762C0D">
        <w:rPr>
          <w:sz w:val="24"/>
          <w:szCs w:val="24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Porównanie studium uwarunkowań i kierunków zagospodarowania przestrzennego gminy oraz miejscowego planu zagospodarowania przestrzennego</w:t>
      </w:r>
      <w:r>
        <w:rPr>
          <w:sz w:val="24"/>
          <w:szCs w:val="24"/>
        </w:rPr>
        <w:t>.</w:t>
      </w:r>
      <w:r w:rsidRPr="00762C0D">
        <w:rPr>
          <w:sz w:val="24"/>
          <w:szCs w:val="24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Planowanie regionalne – definicja i istota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Charakterystyka najważniejszych instrumentów planowania regionalnego</w:t>
      </w:r>
      <w:r>
        <w:rPr>
          <w:sz w:val="24"/>
          <w:szCs w:val="24"/>
        </w:rPr>
        <w:t>.</w:t>
      </w:r>
      <w:r w:rsidRPr="00762C0D">
        <w:rPr>
          <w:sz w:val="24"/>
          <w:szCs w:val="24"/>
        </w:rPr>
        <w:t xml:space="preserve"> 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Czynniki kształtujące konkurencyjność regionów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 xml:space="preserve">Porównanie klasycznych teorii lokalizacji J.H. von </w:t>
      </w:r>
      <w:proofErr w:type="spellStart"/>
      <w:r w:rsidRPr="00762C0D">
        <w:rPr>
          <w:sz w:val="24"/>
          <w:szCs w:val="24"/>
        </w:rPr>
        <w:t>Thunena</w:t>
      </w:r>
      <w:proofErr w:type="spellEnd"/>
      <w:r w:rsidRPr="00762C0D">
        <w:rPr>
          <w:sz w:val="24"/>
          <w:szCs w:val="24"/>
        </w:rPr>
        <w:t xml:space="preserve"> i A. Webera</w:t>
      </w:r>
      <w:r>
        <w:rPr>
          <w:sz w:val="24"/>
          <w:szCs w:val="24"/>
        </w:rPr>
        <w:t>.</w:t>
      </w:r>
    </w:p>
    <w:p w:rsidR="006759AA" w:rsidRPr="00762C0D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Definicja rozwoju spolaryzowanego i charakterystyka teorii wyjaśniających jego mechanizmy</w:t>
      </w:r>
      <w:r>
        <w:rPr>
          <w:sz w:val="24"/>
          <w:szCs w:val="24"/>
        </w:rPr>
        <w:t>.</w:t>
      </w:r>
    </w:p>
    <w:p w:rsidR="006759AA" w:rsidRDefault="006759AA" w:rsidP="006759AA">
      <w:pPr>
        <w:pStyle w:val="Akapitzlist"/>
        <w:numPr>
          <w:ilvl w:val="0"/>
          <w:numId w:val="3"/>
        </w:numPr>
        <w:spacing w:after="0" w:line="336" w:lineRule="auto"/>
        <w:ind w:left="425" w:hanging="425"/>
        <w:jc w:val="both"/>
        <w:rPr>
          <w:sz w:val="24"/>
          <w:szCs w:val="24"/>
        </w:rPr>
      </w:pPr>
      <w:r w:rsidRPr="00762C0D">
        <w:rPr>
          <w:sz w:val="24"/>
          <w:szCs w:val="24"/>
        </w:rPr>
        <w:t>Koncepcja rdzeni i peryferii w układach regionalnych J. Friedmana</w:t>
      </w:r>
      <w:r>
        <w:rPr>
          <w:sz w:val="24"/>
          <w:szCs w:val="24"/>
        </w:rPr>
        <w:t>.</w:t>
      </w:r>
    </w:p>
    <w:p w:rsidR="006759AA" w:rsidRDefault="006759AA" w:rsidP="00081974">
      <w:pPr>
        <w:spacing w:after="0"/>
        <w:rPr>
          <w:rFonts w:cs="Times New Roman"/>
          <w:sz w:val="26"/>
          <w:szCs w:val="26"/>
        </w:rPr>
      </w:pPr>
    </w:p>
    <w:sectPr w:rsidR="006759AA" w:rsidSect="00B80708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277" w:rsidRDefault="002C2277" w:rsidP="00B751A4">
      <w:pPr>
        <w:spacing w:after="0" w:line="240" w:lineRule="auto"/>
      </w:pPr>
      <w:r>
        <w:separator/>
      </w:r>
    </w:p>
  </w:endnote>
  <w:endnote w:type="continuationSeparator" w:id="0">
    <w:p w:rsidR="002C2277" w:rsidRDefault="002C2277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277" w:rsidRDefault="002C2277" w:rsidP="00B751A4">
      <w:pPr>
        <w:spacing w:after="0" w:line="240" w:lineRule="auto"/>
      </w:pPr>
      <w:r>
        <w:separator/>
      </w:r>
    </w:p>
  </w:footnote>
  <w:footnote w:type="continuationSeparator" w:id="0">
    <w:p w:rsidR="002C2277" w:rsidRDefault="002C2277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>Pytania specjalnościowe 201</w:t>
    </w:r>
    <w:r w:rsidR="00804B48">
      <w:rPr>
        <w:sz w:val="28"/>
        <w:szCs w:val="28"/>
      </w:rPr>
      <w:t>8</w:t>
    </w:r>
    <w:r w:rsidRPr="00B751A4">
      <w:rPr>
        <w:sz w:val="28"/>
        <w:szCs w:val="28"/>
      </w:rPr>
      <w:t>/201</w:t>
    </w:r>
    <w:r w:rsidR="00804B48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678ED"/>
    <w:multiLevelType w:val="hybridMultilevel"/>
    <w:tmpl w:val="973A385A"/>
    <w:lvl w:ilvl="0" w:tplc="4F38A8EC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276E41"/>
    <w:multiLevelType w:val="hybridMultilevel"/>
    <w:tmpl w:val="285A622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973949"/>
    <w:multiLevelType w:val="hybridMultilevel"/>
    <w:tmpl w:val="CEB4581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B130FC"/>
    <w:multiLevelType w:val="hybridMultilevel"/>
    <w:tmpl w:val="8FE4B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5D0888"/>
    <w:multiLevelType w:val="hybridMultilevel"/>
    <w:tmpl w:val="033E9B8C"/>
    <w:lvl w:ilvl="0" w:tplc="C4184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41E0D87"/>
    <w:multiLevelType w:val="hybridMultilevel"/>
    <w:tmpl w:val="6BD8D6E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41603"/>
    <w:rsid w:val="00052FAC"/>
    <w:rsid w:val="0007665D"/>
    <w:rsid w:val="00081974"/>
    <w:rsid w:val="0008680B"/>
    <w:rsid w:val="000A4BAA"/>
    <w:rsid w:val="001D6EC9"/>
    <w:rsid w:val="002750C1"/>
    <w:rsid w:val="002C2277"/>
    <w:rsid w:val="002C3B66"/>
    <w:rsid w:val="002D63B0"/>
    <w:rsid w:val="003344A6"/>
    <w:rsid w:val="003F4A90"/>
    <w:rsid w:val="004237BB"/>
    <w:rsid w:val="004C5C9C"/>
    <w:rsid w:val="005E3187"/>
    <w:rsid w:val="00625FE9"/>
    <w:rsid w:val="006759AA"/>
    <w:rsid w:val="006F56D4"/>
    <w:rsid w:val="00714FBF"/>
    <w:rsid w:val="007403B0"/>
    <w:rsid w:val="00762C0D"/>
    <w:rsid w:val="007A44B5"/>
    <w:rsid w:val="007B0843"/>
    <w:rsid w:val="007B1CE2"/>
    <w:rsid w:val="007C7E63"/>
    <w:rsid w:val="00804B48"/>
    <w:rsid w:val="00805916"/>
    <w:rsid w:val="00864BA3"/>
    <w:rsid w:val="00916DF8"/>
    <w:rsid w:val="009D0655"/>
    <w:rsid w:val="009D0F54"/>
    <w:rsid w:val="00A244E3"/>
    <w:rsid w:val="00B52EFD"/>
    <w:rsid w:val="00B651B8"/>
    <w:rsid w:val="00B751A4"/>
    <w:rsid w:val="00B80708"/>
    <w:rsid w:val="00BB3D26"/>
    <w:rsid w:val="00BD76C3"/>
    <w:rsid w:val="00CE3C94"/>
    <w:rsid w:val="00D637F0"/>
    <w:rsid w:val="00EA0FF2"/>
    <w:rsid w:val="00EC5B02"/>
    <w:rsid w:val="00F45727"/>
    <w:rsid w:val="00FE4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62C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D76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D76C3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181A0-5197-4D11-A8C7-992FF71D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550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13</cp:revision>
  <dcterms:created xsi:type="dcterms:W3CDTF">2016-01-11T18:21:00Z</dcterms:created>
  <dcterms:modified xsi:type="dcterms:W3CDTF">2018-12-06T10:32:00Z</dcterms:modified>
</cp:coreProperties>
</file>