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B751A4" w:rsidRDefault="00AD334F" w:rsidP="00B751A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751A4" w:rsidRPr="00B751A4">
        <w:rPr>
          <w:sz w:val="28"/>
          <w:szCs w:val="28"/>
        </w:rPr>
        <w:t xml:space="preserve">brona dyplomowa studia I-go stopnia kierunek </w:t>
      </w:r>
      <w:r w:rsidR="00B751A4" w:rsidRPr="00B751A4">
        <w:rPr>
          <w:b/>
          <w:sz w:val="28"/>
          <w:szCs w:val="28"/>
        </w:rPr>
        <w:t>Ekonomia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Makroekonomiczne mierniki gospodarki.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color w:val="000000"/>
          <w:sz w:val="24"/>
          <w:szCs w:val="24"/>
        </w:rPr>
        <w:t>Kondycja makroekonomiczna polskiej gospodarki na tle krajów UE.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Koniunktura gospodarcza</w:t>
      </w:r>
      <w:r w:rsidR="007C2304">
        <w:rPr>
          <w:rFonts w:ascii="Calibri" w:eastAsia="Calibri" w:hAnsi="Calibri" w:cs="Times New Roman"/>
          <w:sz w:val="24"/>
          <w:szCs w:val="24"/>
        </w:rPr>
        <w:t xml:space="preserve"> i </w:t>
      </w:r>
      <w:r w:rsidRPr="00FC7ADE">
        <w:rPr>
          <w:rFonts w:ascii="Calibri" w:eastAsia="Calibri" w:hAnsi="Calibri" w:cs="Times New Roman"/>
          <w:sz w:val="24"/>
          <w:szCs w:val="24"/>
        </w:rPr>
        <w:t>jej mierniki.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Podstawowe prawa rynku i zależności między nimi.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Optimum producenta – pojęcie, sposób wyznaczania.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Funkcje i rodzaje cen w gospodarce rynkowej.</w:t>
      </w:r>
    </w:p>
    <w:p w:rsidR="007C2304" w:rsidRDefault="007C2304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304">
        <w:rPr>
          <w:rFonts w:ascii="Calibri" w:eastAsia="Calibri" w:hAnsi="Calibri" w:cs="Times New Roman"/>
          <w:sz w:val="24"/>
          <w:szCs w:val="24"/>
        </w:rPr>
        <w:t>Wady P</w:t>
      </w:r>
      <w:r w:rsidR="00EF6718">
        <w:rPr>
          <w:rFonts w:ascii="Calibri" w:eastAsia="Calibri" w:hAnsi="Calibri" w:cs="Times New Roman"/>
          <w:sz w:val="24"/>
          <w:szCs w:val="24"/>
        </w:rPr>
        <w:t xml:space="preserve">roduktu </w:t>
      </w:r>
      <w:r w:rsidRPr="007C2304">
        <w:rPr>
          <w:rFonts w:ascii="Calibri" w:eastAsia="Calibri" w:hAnsi="Calibri" w:cs="Times New Roman"/>
          <w:sz w:val="24"/>
          <w:szCs w:val="24"/>
        </w:rPr>
        <w:t>K</w:t>
      </w:r>
      <w:r w:rsidR="00EF6718">
        <w:rPr>
          <w:rFonts w:ascii="Calibri" w:eastAsia="Calibri" w:hAnsi="Calibri" w:cs="Times New Roman"/>
          <w:sz w:val="24"/>
          <w:szCs w:val="24"/>
        </w:rPr>
        <w:t xml:space="preserve">rajowego </w:t>
      </w:r>
      <w:r w:rsidRPr="007C2304">
        <w:rPr>
          <w:rFonts w:ascii="Calibri" w:eastAsia="Calibri" w:hAnsi="Calibri" w:cs="Times New Roman"/>
          <w:sz w:val="24"/>
          <w:szCs w:val="24"/>
        </w:rPr>
        <w:t>B</w:t>
      </w:r>
      <w:r w:rsidR="00EF6718">
        <w:rPr>
          <w:rFonts w:ascii="Calibri" w:eastAsia="Calibri" w:hAnsi="Calibri" w:cs="Times New Roman"/>
          <w:sz w:val="24"/>
          <w:szCs w:val="24"/>
        </w:rPr>
        <w:t>rutto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5021DD" w:rsidRPr="007C2304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2304">
        <w:rPr>
          <w:rFonts w:ascii="Calibri" w:eastAsia="Calibri" w:hAnsi="Calibri" w:cs="Times New Roman"/>
          <w:sz w:val="24"/>
          <w:szCs w:val="24"/>
        </w:rPr>
        <w:t>Inwestycje i ich rola oraz czynniki kształtujące ich wielkość w gospodarce rynkowej.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Główne nurty teoretyczne makroekonomii (makroekonomia keynesowska a makroekonomia klasyczna).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Równowaga na rynku dóbr i usług a równowaga na rynku pieniężnym.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Teorie zachowania się konsumenta.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Pieniądz  - rodzaje i jego funkcje.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Istota i narzędzia polityki fiskalnej.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Istota i narzędzia polityki monetarnej.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Deficyt budżetowy i dług publiczny.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 xml:space="preserve">System finansowy państwa </w:t>
      </w:r>
      <w:r w:rsidR="007C2304">
        <w:rPr>
          <w:rFonts w:ascii="Calibri" w:eastAsia="Calibri" w:hAnsi="Calibri" w:cs="Times New Roman"/>
          <w:sz w:val="24"/>
          <w:szCs w:val="24"/>
        </w:rPr>
        <w:t>- charakterystyka</w:t>
      </w:r>
      <w:r w:rsidRPr="00FC7ADE">
        <w:rPr>
          <w:rFonts w:ascii="Calibri" w:eastAsia="Calibri" w:hAnsi="Calibri" w:cs="Times New Roman"/>
          <w:sz w:val="24"/>
          <w:szCs w:val="24"/>
        </w:rPr>
        <w:t>.</w:t>
      </w:r>
    </w:p>
    <w:p w:rsidR="00EF6718" w:rsidRDefault="00EF6718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6718">
        <w:rPr>
          <w:rFonts w:ascii="Calibri" w:eastAsia="Calibri" w:hAnsi="Calibri" w:cs="Times New Roman"/>
          <w:sz w:val="24"/>
          <w:szCs w:val="24"/>
        </w:rPr>
        <w:t>Istota i narzędzia polityki finansowej gospodarstw domowych.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Hierarchia potrzeb według Maslowa.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Cykliczny rozwój gospodarki rynkowej.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Mechanizm rynkowy i jego paradoksy.</w:t>
      </w:r>
    </w:p>
    <w:p w:rsidR="005021DD" w:rsidRPr="00FC7ADE" w:rsidRDefault="005021DD" w:rsidP="00EF6718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Czynniki kształtujące popyt i podaż.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Keyn</w:t>
      </w:r>
      <w:r w:rsidR="004762E3">
        <w:rPr>
          <w:rFonts w:ascii="Calibri" w:eastAsia="Calibri" w:hAnsi="Calibri" w:cs="Times New Roman"/>
          <w:sz w:val="24"/>
          <w:szCs w:val="24"/>
        </w:rPr>
        <w:t>e</w:t>
      </w:r>
      <w:r w:rsidRPr="00FC7ADE">
        <w:rPr>
          <w:rFonts w:ascii="Calibri" w:eastAsia="Calibri" w:hAnsi="Calibri" w:cs="Times New Roman"/>
          <w:sz w:val="24"/>
          <w:szCs w:val="24"/>
        </w:rPr>
        <w:t>sowski model gospodarki.</w:t>
      </w:r>
    </w:p>
    <w:p w:rsidR="005021DD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Gospodarstwo domowe jako specyficzny podmiot gospodarki rynkowej.</w:t>
      </w:r>
    </w:p>
    <w:p w:rsidR="00EF6718" w:rsidRPr="00EF6718" w:rsidRDefault="00EF6718" w:rsidP="00EF6718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9" w:hanging="357"/>
        <w:rPr>
          <w:rFonts w:eastAsia="Times New Roman" w:cs="Courier New"/>
          <w:sz w:val="24"/>
          <w:szCs w:val="24"/>
          <w:lang w:eastAsia="pl-PL"/>
        </w:rPr>
      </w:pPr>
      <w:r w:rsidRPr="00EF6718">
        <w:rPr>
          <w:rFonts w:eastAsia="Times New Roman" w:cs="Courier New"/>
          <w:sz w:val="24"/>
          <w:szCs w:val="24"/>
          <w:lang w:eastAsia="pl-PL"/>
        </w:rPr>
        <w:t>Decyzje gospodarstw domowych w warunkach niepewności i niestabilności gospodarki.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Charakterystyka gospodarki centralnie planowanej.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Równowaga przedsiębiorstwa w różnych strukturach rynkowych: konkurencji doskonałej, monopolu, konkurencji niedoskonałej.</w:t>
      </w:r>
    </w:p>
    <w:p w:rsidR="005021DD" w:rsidRPr="00FC7ADE" w:rsidRDefault="00EF6718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Rynek </w:t>
      </w:r>
      <w:r w:rsidR="005021DD" w:rsidRPr="00FC7ADE">
        <w:rPr>
          <w:rFonts w:ascii="Calibri" w:eastAsia="Calibri" w:hAnsi="Calibri" w:cs="Times New Roman"/>
          <w:sz w:val="24"/>
          <w:szCs w:val="24"/>
        </w:rPr>
        <w:t>czynników produkcji</w:t>
      </w:r>
      <w:r>
        <w:rPr>
          <w:rFonts w:ascii="Calibri" w:eastAsia="Calibri" w:hAnsi="Calibri" w:cs="Times New Roman"/>
          <w:sz w:val="24"/>
          <w:szCs w:val="24"/>
        </w:rPr>
        <w:t xml:space="preserve"> - charakterystyka wybranego r</w:t>
      </w:r>
      <w:r w:rsidRPr="00FC7ADE">
        <w:rPr>
          <w:rFonts w:ascii="Calibri" w:eastAsia="Calibri" w:hAnsi="Calibri" w:cs="Times New Roman"/>
          <w:sz w:val="24"/>
          <w:szCs w:val="24"/>
        </w:rPr>
        <w:t>ynk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="005021DD" w:rsidRPr="00FC7ADE">
        <w:rPr>
          <w:rFonts w:ascii="Calibri" w:eastAsia="Calibri" w:hAnsi="Calibri" w:cs="Times New Roman"/>
          <w:sz w:val="24"/>
          <w:szCs w:val="24"/>
        </w:rPr>
        <w:t>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Bank centralny i jego funkcje.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lastRenderedPageBreak/>
        <w:t>Zależność pomiędzy inflacją a bezrobociem.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Rynek pracy i jego elementy.</w:t>
      </w:r>
    </w:p>
    <w:p w:rsidR="005021DD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Elastyczność cenowa oraz dochodowa popytu.</w:t>
      </w:r>
    </w:p>
    <w:p w:rsidR="007C2304" w:rsidRPr="00FC7ADE" w:rsidRDefault="00EF6718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Krzyżowa elastyczność popytu</w:t>
      </w:r>
      <w:r>
        <w:rPr>
          <w:rFonts w:ascii="Calibri" w:eastAsia="Calibri" w:hAnsi="Calibri" w:cs="Times New Roman"/>
          <w:sz w:val="24"/>
          <w:szCs w:val="24"/>
        </w:rPr>
        <w:t xml:space="preserve"> i e</w:t>
      </w:r>
      <w:r w:rsidR="007C2304">
        <w:rPr>
          <w:rFonts w:ascii="Calibri" w:eastAsia="Calibri" w:hAnsi="Calibri" w:cs="Times New Roman"/>
          <w:sz w:val="24"/>
          <w:szCs w:val="24"/>
        </w:rPr>
        <w:t>lastyczność podaży.</w:t>
      </w:r>
    </w:p>
    <w:p w:rsidR="005021DD" w:rsidRPr="00FC7ADE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Dochód narodowy i jego pochodne.</w:t>
      </w:r>
    </w:p>
    <w:p w:rsidR="005021DD" w:rsidRPr="00EF6718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6718">
        <w:rPr>
          <w:rFonts w:ascii="Calibri" w:eastAsia="Calibri" w:hAnsi="Calibri" w:cs="Times New Roman"/>
          <w:sz w:val="24"/>
          <w:szCs w:val="24"/>
        </w:rPr>
        <w:t>Nieefektywność rynku i jej determinanty.</w:t>
      </w:r>
    </w:p>
    <w:p w:rsidR="007C2304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 xml:space="preserve">Przyczyny i skutki </w:t>
      </w:r>
      <w:r w:rsidR="007C2304">
        <w:rPr>
          <w:rFonts w:ascii="Calibri" w:eastAsia="Calibri" w:hAnsi="Calibri" w:cs="Times New Roman"/>
          <w:sz w:val="24"/>
          <w:szCs w:val="24"/>
        </w:rPr>
        <w:t>deflacji.</w:t>
      </w:r>
    </w:p>
    <w:p w:rsidR="005021DD" w:rsidRDefault="007C2304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5021DD" w:rsidRPr="00FC7ADE">
        <w:rPr>
          <w:rFonts w:ascii="Calibri" w:eastAsia="Calibri" w:hAnsi="Calibri" w:cs="Times New Roman"/>
          <w:sz w:val="24"/>
          <w:szCs w:val="24"/>
        </w:rPr>
        <w:t>posoby oddziaływania na zjawisko deflacji w gospodarce.</w:t>
      </w:r>
    </w:p>
    <w:p w:rsidR="007C2304" w:rsidRPr="00FC7ADE" w:rsidRDefault="007C2304" w:rsidP="007C2304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Przyczyny</w:t>
      </w:r>
      <w:r>
        <w:rPr>
          <w:rFonts w:ascii="Calibri" w:eastAsia="Calibri" w:hAnsi="Calibri" w:cs="Times New Roman"/>
          <w:sz w:val="24"/>
          <w:szCs w:val="24"/>
        </w:rPr>
        <w:t xml:space="preserve"> i </w:t>
      </w:r>
      <w:r w:rsidRPr="00FC7ADE">
        <w:rPr>
          <w:rFonts w:ascii="Calibri" w:eastAsia="Calibri" w:hAnsi="Calibri" w:cs="Times New Roman"/>
          <w:sz w:val="24"/>
          <w:szCs w:val="24"/>
        </w:rPr>
        <w:t>skutki inflacji.</w:t>
      </w:r>
    </w:p>
    <w:p w:rsidR="007C2304" w:rsidRDefault="007C2304" w:rsidP="007C2304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Pr="00FC7ADE">
        <w:rPr>
          <w:rFonts w:ascii="Calibri" w:eastAsia="Calibri" w:hAnsi="Calibri" w:cs="Times New Roman"/>
          <w:sz w:val="24"/>
          <w:szCs w:val="24"/>
        </w:rPr>
        <w:t xml:space="preserve">posoby oddziaływania na zjawisko </w:t>
      </w:r>
      <w:r>
        <w:rPr>
          <w:rFonts w:ascii="Calibri" w:eastAsia="Calibri" w:hAnsi="Calibri" w:cs="Times New Roman"/>
          <w:sz w:val="24"/>
          <w:szCs w:val="24"/>
        </w:rPr>
        <w:t>inflacji</w:t>
      </w:r>
      <w:r w:rsidRPr="00FC7ADE">
        <w:rPr>
          <w:rFonts w:ascii="Calibri" w:eastAsia="Calibri" w:hAnsi="Calibri" w:cs="Times New Roman"/>
          <w:sz w:val="24"/>
          <w:szCs w:val="24"/>
        </w:rPr>
        <w:t xml:space="preserve"> w gospodarce.</w:t>
      </w:r>
    </w:p>
    <w:p w:rsidR="007C2304" w:rsidRDefault="005021DD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C7ADE">
        <w:rPr>
          <w:rFonts w:ascii="Calibri" w:eastAsia="Calibri" w:hAnsi="Calibri" w:cs="Times New Roman"/>
          <w:sz w:val="24"/>
          <w:szCs w:val="24"/>
        </w:rPr>
        <w:t>Bezrobocie</w:t>
      </w:r>
      <w:r w:rsidR="007C2304">
        <w:rPr>
          <w:rFonts w:ascii="Calibri" w:eastAsia="Calibri" w:hAnsi="Calibri" w:cs="Times New Roman"/>
          <w:sz w:val="24"/>
          <w:szCs w:val="24"/>
        </w:rPr>
        <w:t xml:space="preserve"> i </w:t>
      </w:r>
      <w:r w:rsidRPr="00FC7ADE">
        <w:rPr>
          <w:rFonts w:ascii="Calibri" w:eastAsia="Calibri" w:hAnsi="Calibri" w:cs="Times New Roman"/>
          <w:sz w:val="24"/>
          <w:szCs w:val="24"/>
        </w:rPr>
        <w:t>jego rodzaje</w:t>
      </w:r>
      <w:r w:rsidR="007C2304">
        <w:rPr>
          <w:rFonts w:ascii="Calibri" w:eastAsia="Calibri" w:hAnsi="Calibri" w:cs="Times New Roman"/>
          <w:sz w:val="24"/>
          <w:szCs w:val="24"/>
        </w:rPr>
        <w:t>.</w:t>
      </w:r>
    </w:p>
    <w:p w:rsidR="007C2304" w:rsidRDefault="007C2304" w:rsidP="004762E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Sposoby ograniczania bezrobocia.</w:t>
      </w:r>
    </w:p>
    <w:p w:rsidR="003344A6" w:rsidRPr="00B751A4" w:rsidRDefault="003344A6" w:rsidP="003344A6"/>
    <w:sectPr w:rsidR="003344A6" w:rsidRPr="00B751A4" w:rsidSect="007B1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FD" w:rsidRDefault="003B67FD" w:rsidP="00B751A4">
      <w:pPr>
        <w:spacing w:after="0" w:line="240" w:lineRule="auto"/>
      </w:pPr>
      <w:r>
        <w:separator/>
      </w:r>
    </w:p>
  </w:endnote>
  <w:endnote w:type="continuationSeparator" w:id="0">
    <w:p w:rsidR="003B67FD" w:rsidRDefault="003B67FD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FD" w:rsidRDefault="003B67FD" w:rsidP="00B751A4">
      <w:pPr>
        <w:spacing w:after="0" w:line="240" w:lineRule="auto"/>
      </w:pPr>
      <w:r>
        <w:separator/>
      </w:r>
    </w:p>
  </w:footnote>
  <w:footnote w:type="continuationSeparator" w:id="0">
    <w:p w:rsidR="003B67FD" w:rsidRDefault="003B67FD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1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1A4">
      <w:rPr>
        <w:sz w:val="28"/>
        <w:szCs w:val="28"/>
      </w:rPr>
      <w:t xml:space="preserve">Pytania </w:t>
    </w:r>
    <w:r w:rsidR="00FC7ADE">
      <w:rPr>
        <w:sz w:val="28"/>
        <w:szCs w:val="28"/>
      </w:rPr>
      <w:t>kierunkowe</w:t>
    </w:r>
    <w:r w:rsidRPr="00B751A4">
      <w:rPr>
        <w:sz w:val="28"/>
        <w:szCs w:val="28"/>
      </w:rPr>
      <w:t xml:space="preserve"> 201</w:t>
    </w:r>
    <w:r w:rsidR="002117A2">
      <w:rPr>
        <w:sz w:val="28"/>
        <w:szCs w:val="28"/>
      </w:rPr>
      <w:t>8</w:t>
    </w:r>
    <w:r w:rsidRPr="00B751A4">
      <w:rPr>
        <w:sz w:val="28"/>
        <w:szCs w:val="28"/>
      </w:rPr>
      <w:t>/201</w:t>
    </w:r>
    <w:r w:rsidR="002117A2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4FF"/>
    <w:multiLevelType w:val="hybridMultilevel"/>
    <w:tmpl w:val="508211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2953F3B"/>
    <w:multiLevelType w:val="hybridMultilevel"/>
    <w:tmpl w:val="17B2564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52FAC"/>
    <w:rsid w:val="0007665D"/>
    <w:rsid w:val="000A4BAA"/>
    <w:rsid w:val="0017465A"/>
    <w:rsid w:val="001F0D4B"/>
    <w:rsid w:val="002117A2"/>
    <w:rsid w:val="002B2A6A"/>
    <w:rsid w:val="003344A6"/>
    <w:rsid w:val="003B67FD"/>
    <w:rsid w:val="003C57DA"/>
    <w:rsid w:val="004762E3"/>
    <w:rsid w:val="005021DD"/>
    <w:rsid w:val="00531620"/>
    <w:rsid w:val="0059202B"/>
    <w:rsid w:val="006153C9"/>
    <w:rsid w:val="00625FE9"/>
    <w:rsid w:val="0070041C"/>
    <w:rsid w:val="00740E82"/>
    <w:rsid w:val="007B1CE2"/>
    <w:rsid w:val="007C2304"/>
    <w:rsid w:val="009A28EA"/>
    <w:rsid w:val="00A072B6"/>
    <w:rsid w:val="00AD334F"/>
    <w:rsid w:val="00AE4E4A"/>
    <w:rsid w:val="00B751A4"/>
    <w:rsid w:val="00BF373F"/>
    <w:rsid w:val="00C240BD"/>
    <w:rsid w:val="00C32063"/>
    <w:rsid w:val="00CA1DD3"/>
    <w:rsid w:val="00CE3C94"/>
    <w:rsid w:val="00D637F0"/>
    <w:rsid w:val="00D73B8F"/>
    <w:rsid w:val="00EA66DE"/>
    <w:rsid w:val="00EF6718"/>
    <w:rsid w:val="00F72123"/>
    <w:rsid w:val="00F9304D"/>
    <w:rsid w:val="00FA00AD"/>
    <w:rsid w:val="00FC7ADE"/>
    <w:rsid w:val="00F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1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67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A1A2-8387-4A7B-B7C7-E579A06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Sutryk</cp:lastModifiedBy>
  <cp:revision>7</cp:revision>
  <dcterms:created xsi:type="dcterms:W3CDTF">2016-01-11T18:35:00Z</dcterms:created>
  <dcterms:modified xsi:type="dcterms:W3CDTF">2018-12-06T10:33:00Z</dcterms:modified>
</cp:coreProperties>
</file>